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kern w:val="11"/>
          <w:sz w:val="28"/>
          <w:szCs w:val="28"/>
          <w:lang w:eastAsia="zh-CN"/>
        </w:rPr>
        <w:t>北京市大兴区农村合作经济经营管理站部门包括</w:t>
      </w:r>
      <w:r>
        <w:rPr>
          <w:rFonts w:hint="eastAsia" w:ascii="仿宋_GB2312" w:hAnsi="仿宋_GB2312" w:eastAsia="仿宋_GB2312" w:cs="仿宋_GB2312"/>
          <w:color w:val="000000"/>
          <w:kern w:val="11"/>
          <w:sz w:val="28"/>
          <w:szCs w:val="28"/>
        </w:rPr>
        <w:t>北京市大兴区农村合作经济经营管理站</w:t>
      </w:r>
      <w:r>
        <w:rPr>
          <w:rFonts w:hint="eastAsia" w:ascii="仿宋_GB2312" w:hAnsi="仿宋_GB2312" w:eastAsia="仿宋_GB2312" w:cs="仿宋_GB2312"/>
          <w:color w:val="000000"/>
          <w:kern w:val="11"/>
          <w:sz w:val="28"/>
          <w:szCs w:val="28"/>
          <w:lang w:eastAsia="zh-CN"/>
        </w:rPr>
        <w:t>（简称大兴区经管站）</w:t>
      </w:r>
      <w:r>
        <w:rPr>
          <w:rFonts w:hint="eastAsia" w:ascii="仿宋_GB2312" w:hAnsi="仿宋_GB2312" w:eastAsia="仿宋_GB2312" w:cs="仿宋_GB2312"/>
          <w:color w:val="000000"/>
          <w:kern w:val="11"/>
          <w:sz w:val="28"/>
          <w:szCs w:val="28"/>
        </w:rPr>
        <w:t>本级，</w:t>
      </w:r>
      <w:r>
        <w:rPr>
          <w:rFonts w:hint="eastAsia" w:ascii="仿宋_GB2312" w:hAnsi="仿宋_GB2312" w:eastAsia="仿宋_GB2312" w:cs="仿宋_GB2312"/>
          <w:color w:val="000000"/>
          <w:kern w:val="11"/>
          <w:sz w:val="28"/>
          <w:szCs w:val="28"/>
          <w:lang w:eastAsia="zh-CN"/>
        </w:rPr>
        <w:t>公益一类事业单位，</w:t>
      </w:r>
      <w:r>
        <w:rPr>
          <w:rFonts w:hint="eastAsia" w:ascii="仿宋_GB2312" w:hAnsi="仿宋_GB2312" w:eastAsia="仿宋_GB2312" w:cs="仿宋_GB2312"/>
          <w:color w:val="000000"/>
          <w:sz w:val="28"/>
          <w:szCs w:val="28"/>
          <w:lang w:eastAsia="zh-CN"/>
        </w:rPr>
        <w:t>不含</w:t>
      </w:r>
      <w:r>
        <w:rPr>
          <w:rFonts w:hint="eastAsia" w:ascii="仿宋_GB2312" w:hAnsi="仿宋_GB2312" w:eastAsia="仿宋_GB2312" w:cs="仿宋_GB2312"/>
          <w:color w:val="000000"/>
          <w:sz w:val="28"/>
          <w:szCs w:val="28"/>
        </w:rPr>
        <w:t>下级单位</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sz w:val="28"/>
          <w:szCs w:val="28"/>
          <w:lang w:eastAsia="zh-CN"/>
        </w:rPr>
        <w:t>内设</w:t>
      </w:r>
      <w:r>
        <w:rPr>
          <w:rFonts w:hint="eastAsia" w:ascii="仿宋_GB2312" w:hAnsi="仿宋_GB2312" w:eastAsia="仿宋_GB2312" w:cs="仿宋_GB2312"/>
          <w:sz w:val="28"/>
          <w:szCs w:val="28"/>
          <w:lang w:val="en-US" w:eastAsia="zh-CN"/>
        </w:rPr>
        <w:t>8个</w:t>
      </w:r>
      <w:r>
        <w:rPr>
          <w:rFonts w:hint="eastAsia" w:ascii="仿宋_GB2312" w:hAnsi="仿宋_GB2312" w:eastAsia="仿宋_GB2312" w:cs="仿宋_GB2312"/>
          <w:sz w:val="28"/>
          <w:szCs w:val="28"/>
          <w:lang w:eastAsia="zh-CN"/>
        </w:rPr>
        <w:t>科室：</w:t>
      </w:r>
      <w:r>
        <w:rPr>
          <w:rFonts w:hint="eastAsia" w:ascii="仿宋_GB2312" w:hAnsi="仿宋_GB2312" w:eastAsia="仿宋_GB2312" w:cs="仿宋_GB2312"/>
          <w:sz w:val="28"/>
          <w:szCs w:val="28"/>
        </w:rPr>
        <w:t>办公室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人教科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村级集体资产指导科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镇级集体资产指导科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农村土地承包合同管理科（大兴区农业承包合同仲裁委员会办公室)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农村财务审计科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农民专业合作社管理和统计科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农村管理信息化办公室</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大兴</w:t>
      </w:r>
      <w:r>
        <w:rPr>
          <w:rFonts w:hint="eastAsia" w:ascii="仿宋_GB2312" w:hAnsi="仿宋_GB2312" w:eastAsia="仿宋_GB2312" w:cs="仿宋_GB2312"/>
          <w:sz w:val="28"/>
          <w:szCs w:val="28"/>
        </w:rPr>
        <w:t>区经管站主要职责是：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（一）宣传和贯彻执行国家、北京市关于农村合作经济经营管理的法律、法规、规章、政策，并协助区农业农村行政管理部门组织实施；负责开展农村合作经济经营方面调查研究，提出相关政策建议。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（二）承担镇、村集体资产管理和集体经济组织产权制度改革方面的辅助性、事务性、技术性工作。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（三）负责农村土地承包合同管理相关工作；接受区农业农村行政管理部门指导，组织开展农村土地承包经营纠纷调解与仲裁工作。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（四）承担农村财务管理和农村财务审计方面辅助性、事务性、技术性工作。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（五）负责农民专业合作组织建设、管理方面的辅助性、事务性、技术性工作；负责低收入农户监测工作；协助落实减轻农 民负担方面的政策法规。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（六）负责农村管理信息化工作。负责农村合作经济经营管理方面相关培训和统计等工作。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（七）承办区委、区政府交办的其他任务。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1603.35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482.45</w:t>
      </w:r>
      <w:r>
        <w:rPr>
          <w:rFonts w:hint="eastAsia" w:ascii="仿宋_GB2312" w:eastAsia="仿宋_GB2312"/>
          <w:sz w:val="28"/>
          <w:szCs w:val="28"/>
        </w:rPr>
        <w:t>万元，下降</w:t>
      </w:r>
      <w:r>
        <w:rPr>
          <w:rFonts w:hint="eastAsia" w:ascii="仿宋_GB2312" w:eastAsia="仿宋_GB2312"/>
          <w:sz w:val="28"/>
          <w:szCs w:val="28"/>
          <w:lang w:val="en-US" w:eastAsia="zh-CN"/>
        </w:rPr>
        <w:t xml:space="preserve">23.13% </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1516.56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569.24</w:t>
      </w:r>
      <w:r>
        <w:rPr>
          <w:rFonts w:hint="eastAsia" w:ascii="仿宋_GB2312" w:eastAsia="仿宋_GB2312"/>
          <w:sz w:val="28"/>
          <w:szCs w:val="28"/>
        </w:rPr>
        <w:t>万元，下降</w:t>
      </w:r>
      <w:r>
        <w:rPr>
          <w:rFonts w:hint="eastAsia" w:ascii="仿宋_GB2312" w:eastAsia="仿宋_GB2312"/>
          <w:sz w:val="28"/>
          <w:szCs w:val="28"/>
          <w:lang w:val="en-US" w:eastAsia="zh-CN"/>
        </w:rPr>
        <w:t>27.29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1515.96</w:t>
      </w:r>
      <w:r>
        <w:rPr>
          <w:rFonts w:hint="eastAsia" w:ascii="仿宋_GB2312" w:eastAsia="仿宋_GB2312"/>
          <w:sz w:val="28"/>
          <w:szCs w:val="28"/>
        </w:rPr>
        <w:t>万元，占收入合计的</w:t>
      </w:r>
      <w:r>
        <w:rPr>
          <w:rFonts w:hint="eastAsia" w:ascii="仿宋_GB2312" w:eastAsia="仿宋_GB2312"/>
          <w:sz w:val="28"/>
          <w:szCs w:val="28"/>
          <w:lang w:eastAsia="zh-CN"/>
        </w:rPr>
        <w:t>99.96%。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1515.96</w:t>
      </w:r>
      <w:r>
        <w:rPr>
          <w:rFonts w:hint="eastAsia" w:ascii="仿宋_GB2312" w:eastAsia="仿宋_GB2312"/>
          <w:sz w:val="28"/>
          <w:szCs w:val="28"/>
        </w:rPr>
        <w:t>万元，占收入合计的</w:t>
      </w:r>
      <w:r>
        <w:rPr>
          <w:rFonts w:hint="eastAsia" w:ascii="仿宋_GB2312" w:eastAsia="仿宋_GB2312"/>
          <w:sz w:val="28"/>
          <w:szCs w:val="28"/>
          <w:lang w:val="en-US" w:eastAsia="zh-CN"/>
        </w:rPr>
        <w:t>99.96</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0.6</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0.04</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1600.03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485.77</w:t>
      </w:r>
      <w:r>
        <w:rPr>
          <w:rFonts w:hint="eastAsia" w:ascii="仿宋_GB2312" w:eastAsia="仿宋_GB2312"/>
          <w:sz w:val="28"/>
          <w:szCs w:val="28"/>
        </w:rPr>
        <w:t>万元，下降</w:t>
      </w:r>
      <w:r>
        <w:rPr>
          <w:rFonts w:hint="eastAsia" w:ascii="仿宋_GB2312" w:eastAsia="仿宋_GB2312"/>
          <w:sz w:val="28"/>
          <w:szCs w:val="28"/>
          <w:lang w:val="en-US" w:eastAsia="zh-CN"/>
        </w:rPr>
        <w:t>23.29%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1344.3</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84.02</w:t>
      </w:r>
      <w:r>
        <w:rPr>
          <w:rFonts w:hint="eastAsia" w:ascii="仿宋_GB2312" w:eastAsia="仿宋_GB2312"/>
          <w:sz w:val="28"/>
          <w:szCs w:val="28"/>
          <w:highlight w:val="none"/>
        </w:rPr>
        <w:t>%；项目支出</w:t>
      </w:r>
      <w:r>
        <w:rPr>
          <w:rFonts w:ascii="仿宋_GB2312" w:eastAsia="仿宋_GB2312"/>
          <w:sz w:val="28"/>
          <w:szCs w:val="28"/>
          <w:highlight w:val="none"/>
        </w:rPr>
        <w:t>255.71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15.98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1597.3</w:t>
      </w:r>
      <w:r>
        <w:rPr>
          <w:rFonts w:hint="eastAsia" w:ascii="仿宋_GB2312" w:eastAsia="仿宋_GB2312"/>
          <w:sz w:val="28"/>
          <w:szCs w:val="28"/>
          <w:lang w:val="en-US" w:eastAsia="zh-CN"/>
        </w:rPr>
        <w:t>0</w:t>
      </w:r>
      <w:r>
        <w:rPr>
          <w:rFonts w:hint="eastAsia" w:ascii="仿宋_GB2312" w:eastAsia="仿宋_GB2312"/>
          <w:sz w:val="28"/>
          <w:szCs w:val="28"/>
        </w:rPr>
        <w:t>万元，比上年减少</w:t>
      </w:r>
      <w:r>
        <w:rPr>
          <w:rFonts w:hint="eastAsia" w:ascii="仿宋_GB2312" w:eastAsia="仿宋_GB2312"/>
          <w:sz w:val="28"/>
          <w:szCs w:val="28"/>
          <w:lang w:val="en-US" w:eastAsia="zh-CN"/>
        </w:rPr>
        <w:t>488.50</w:t>
      </w:r>
      <w:r>
        <w:rPr>
          <w:rFonts w:hint="eastAsia" w:ascii="仿宋_GB2312" w:eastAsia="仿宋_GB2312"/>
          <w:sz w:val="28"/>
          <w:szCs w:val="28"/>
        </w:rPr>
        <w:t>万元，下降</w:t>
      </w:r>
      <w:r>
        <w:rPr>
          <w:rFonts w:hint="eastAsia" w:ascii="仿宋_GB2312" w:eastAsia="仿宋_GB2312"/>
          <w:sz w:val="28"/>
          <w:szCs w:val="28"/>
          <w:lang w:val="en-US" w:eastAsia="zh-CN"/>
        </w:rPr>
        <w:t>23.42</w:t>
      </w:r>
      <w:r>
        <w:rPr>
          <w:rFonts w:hint="eastAsia" w:ascii="仿宋_GB2312" w:eastAsia="仿宋_GB2312"/>
          <w:sz w:val="28"/>
          <w:szCs w:val="28"/>
        </w:rPr>
        <w:t>%。主要原因：</w:t>
      </w:r>
      <w:r>
        <w:rPr>
          <w:rFonts w:hint="eastAsia" w:ascii="仿宋_GB2312" w:eastAsia="仿宋_GB2312"/>
          <w:sz w:val="28"/>
          <w:szCs w:val="28"/>
          <w:lang w:eastAsia="zh-CN"/>
        </w:rPr>
        <w:t>一是今年项目安排少于上年；二是社保、公积金基数调整及人员增减变化调资致人员经费较上年减少。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1597.3</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0.64万元，占本年财政拨款支出0.04%；</w:t>
      </w:r>
      <w:r>
        <w:rPr>
          <w:rFonts w:hint="eastAsia" w:ascii="仿宋_GB2312" w:eastAsia="仿宋_GB2312"/>
          <w:color w:val="000000"/>
          <w:sz w:val="28"/>
          <w:szCs w:val="28"/>
          <w:lang w:eastAsia="zh-CN"/>
        </w:rPr>
        <w:t>社会保障和就业支出</w:t>
      </w:r>
      <w:r>
        <w:rPr>
          <w:rFonts w:hint="eastAsia" w:ascii="仿宋_GB2312" w:eastAsia="仿宋_GB2312"/>
          <w:color w:val="000000"/>
          <w:sz w:val="28"/>
          <w:szCs w:val="28"/>
          <w:lang w:val="en-US" w:eastAsia="zh-CN"/>
        </w:rPr>
        <w:t>160.00</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10.02</w:t>
      </w:r>
      <w:r>
        <w:rPr>
          <w:rFonts w:hint="eastAsia" w:ascii="仿宋_GB2312" w:eastAsia="仿宋_GB2312"/>
          <w:color w:val="000000"/>
          <w:sz w:val="28"/>
          <w:szCs w:val="28"/>
        </w:rPr>
        <w:t xml:space="preserve">%； </w:t>
      </w:r>
      <w:r>
        <w:rPr>
          <w:rFonts w:hint="eastAsia" w:ascii="仿宋_GB2312" w:eastAsia="仿宋_GB2312"/>
          <w:color w:val="000000"/>
          <w:sz w:val="28"/>
          <w:szCs w:val="28"/>
          <w:lang w:eastAsia="zh-CN"/>
        </w:rPr>
        <w:t>卫生健康支出</w:t>
      </w:r>
      <w:r>
        <w:rPr>
          <w:rFonts w:hint="eastAsia" w:ascii="仿宋_GB2312" w:eastAsia="仿宋_GB2312"/>
          <w:color w:val="000000"/>
          <w:sz w:val="28"/>
          <w:szCs w:val="28"/>
          <w:lang w:val="en-US" w:eastAsia="zh-CN"/>
        </w:rPr>
        <w:t>106.16万元，占本年财政拨款支出6.65%；农林水支出1249.16万元，占本年财政拨款支出78.2%；住房保障支出81.34万元，占本年财政拨款支出5.09%。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numPr>
          <w:ilvl w:val="0"/>
          <w:numId w:val="1"/>
        </w:numPr>
        <w:autoSpaceDE w:val="0"/>
        <w:autoSpaceDN w:val="0"/>
        <w:adjustRightInd w:val="0"/>
        <w:spacing w:line="580" w:lineRule="exact"/>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“教育支出”（类）2024年度年初预算3.68万元，2024年度决算0.64万元，完成年初预算的17.39%。</w:t>
      </w:r>
    </w:p>
    <w:p>
      <w:pPr>
        <w:numPr>
          <w:ilvl w:val="0"/>
          <w:numId w:val="0"/>
        </w:numPr>
        <w:autoSpaceDE w:val="0"/>
        <w:autoSpaceDN w:val="0"/>
        <w:adjustRightInd w:val="0"/>
        <w:spacing w:line="580" w:lineRule="exact"/>
        <w:jc w:val="left"/>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其中：</w:t>
      </w:r>
    </w:p>
    <w:p>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color w:val="000000"/>
          <w:sz w:val="28"/>
          <w:szCs w:val="28"/>
          <w:lang w:val="en-US" w:eastAsia="zh-CN"/>
        </w:rPr>
        <w:t>“进修及培训（款）”</w:t>
      </w:r>
      <w:r>
        <w:rPr>
          <w:rFonts w:hint="eastAsia" w:ascii="仿宋_GB2312" w:eastAsia="仿宋_GB2312"/>
          <w:sz w:val="28"/>
          <w:szCs w:val="28"/>
          <w:lang w:val="en-US" w:eastAsia="zh-CN"/>
        </w:rPr>
        <w:t>2024年初预算3.68万元，2024年度决算0.64万元，完成年初预算的17.39%。</w:t>
      </w:r>
      <w:r>
        <w:rPr>
          <w:rFonts w:hint="eastAsia" w:ascii="仿宋_GB2312" w:eastAsia="仿宋_GB2312"/>
          <w:color w:val="000000"/>
          <w:sz w:val="28"/>
          <w:szCs w:val="28"/>
          <w:lang w:val="en-US" w:eastAsia="zh-CN"/>
        </w:rPr>
        <w:t>主要是村级财务人员培训项目今年和市农村发展中心共同举办，培训费由市农村发展中心支付，该培训项目年初预算追减。</w:t>
      </w:r>
    </w:p>
    <w:p>
      <w:pPr>
        <w:autoSpaceDE w:val="0"/>
        <w:autoSpaceDN w:val="0"/>
        <w:adjustRightInd w:val="0"/>
        <w:spacing w:line="560" w:lineRule="exact"/>
        <w:ind w:firstLine="560" w:firstLineChars="200"/>
        <w:jc w:val="left"/>
        <w:rPr>
          <w:rFonts w:ascii="仿宋_GB2312" w:eastAsia="仿宋_GB2312"/>
          <w:color w:val="000000"/>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w:t>
      </w:r>
      <w:r>
        <w:rPr>
          <w:rFonts w:hint="eastAsia" w:ascii="仿宋_GB2312" w:eastAsia="仿宋_GB2312"/>
          <w:color w:val="auto"/>
          <w:sz w:val="28"/>
          <w:szCs w:val="28"/>
          <w:lang w:eastAsia="zh-CN"/>
        </w:rPr>
        <w:t>社</w:t>
      </w:r>
      <w:r>
        <w:rPr>
          <w:rFonts w:hint="eastAsia" w:ascii="仿宋_GB2312" w:eastAsia="仿宋_GB2312"/>
          <w:color w:val="000000"/>
          <w:sz w:val="28"/>
          <w:szCs w:val="28"/>
          <w:lang w:eastAsia="zh-CN"/>
        </w:rPr>
        <w:t>会保障和就业支出</w:t>
      </w:r>
      <w:r>
        <w:rPr>
          <w:rFonts w:hint="eastAsia" w:ascii="仿宋_GB2312" w:eastAsia="仿宋_GB2312"/>
          <w:color w:val="000000"/>
          <w:sz w:val="28"/>
          <w:szCs w:val="28"/>
        </w:rPr>
        <w:t>”（类）</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171.98</w:t>
      </w:r>
      <w:r>
        <w:rPr>
          <w:rFonts w:hint="eastAsia" w:ascii="仿宋_GB2312" w:eastAsia="仿宋_GB2312"/>
          <w:sz w:val="28"/>
          <w:szCs w:val="28"/>
          <w:lang w:val="en-US" w:eastAsia="zh-CN"/>
        </w:rPr>
        <w:t>万元，2024年度决算160.00万元，完成年初预算的93.03%。</w:t>
      </w:r>
      <w:r>
        <w:rPr>
          <w:rFonts w:hint="eastAsia" w:ascii="仿宋_GB2312" w:eastAsia="仿宋_GB2312"/>
          <w:color w:val="000000"/>
          <w:sz w:val="28"/>
          <w:szCs w:val="28"/>
        </w:rPr>
        <w:t>其中：</w:t>
      </w:r>
    </w:p>
    <w:p>
      <w:pPr>
        <w:numPr>
          <w:ilvl w:val="0"/>
          <w:numId w:val="0"/>
        </w:numPr>
        <w:ind w:firstLine="560" w:firstLineChars="200"/>
        <w:outlineLvl w:val="0"/>
        <w:rPr>
          <w:rFonts w:ascii="仿宋" w:hAnsi="仿宋" w:eastAsia="仿宋"/>
          <w:kern w:val="11"/>
          <w:sz w:val="28"/>
          <w:szCs w:val="28"/>
        </w:rPr>
      </w:pPr>
      <w:r>
        <w:rPr>
          <w:rFonts w:hint="eastAsia" w:ascii="仿宋_GB2312" w:eastAsia="仿宋_GB2312"/>
          <w:color w:val="000000"/>
          <w:sz w:val="28"/>
          <w:szCs w:val="28"/>
        </w:rPr>
        <w:t>“</w:t>
      </w:r>
      <w:r>
        <w:rPr>
          <w:rFonts w:hint="eastAsia" w:ascii="仿宋_GB2312" w:eastAsia="仿宋_GB2312"/>
          <w:color w:val="000000"/>
          <w:sz w:val="28"/>
          <w:szCs w:val="28"/>
          <w:lang w:eastAsia="zh-CN"/>
        </w:rPr>
        <w:t>行政事业单位养老支出</w:t>
      </w:r>
      <w:r>
        <w:rPr>
          <w:rFonts w:hint="eastAsia" w:ascii="仿宋_GB2312" w:eastAsia="仿宋_GB2312"/>
          <w:color w:val="000000"/>
          <w:sz w:val="28"/>
          <w:szCs w:val="28"/>
        </w:rPr>
        <w:t>”（款）</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171.98</w:t>
      </w:r>
      <w:r>
        <w:rPr>
          <w:rFonts w:hint="eastAsia" w:ascii="仿宋_GB2312" w:eastAsia="仿宋_GB2312"/>
          <w:sz w:val="28"/>
          <w:szCs w:val="28"/>
          <w:lang w:val="en-US" w:eastAsia="zh-CN"/>
        </w:rPr>
        <w:t>万元，2024年度决算160.00万元，完成年初预算的93.03%。</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养老及年金基数调</w:t>
      </w:r>
      <w:r>
        <w:rPr>
          <w:rFonts w:hint="eastAsia" w:ascii="仿宋_GB2312" w:hAnsi="仿宋_GB2312" w:eastAsia="仿宋_GB2312" w:cs="仿宋_GB2312"/>
          <w:color w:val="000000"/>
          <w:sz w:val="28"/>
          <w:szCs w:val="28"/>
          <w:lang w:eastAsia="zh-CN"/>
        </w:rPr>
        <w:t>整及人员增减变化</w:t>
      </w:r>
      <w:r>
        <w:rPr>
          <w:rFonts w:hint="eastAsia" w:ascii="仿宋" w:hAnsi="仿宋" w:eastAsia="仿宋" w:cs="仿宋"/>
          <w:bCs/>
          <w:sz w:val="28"/>
          <w:szCs w:val="28"/>
          <w:lang w:val="en-US" w:eastAsia="zh-CN"/>
        </w:rPr>
        <w:t>所致。</w:t>
      </w:r>
    </w:p>
    <w:p>
      <w:pPr>
        <w:numPr>
          <w:ilvl w:val="0"/>
          <w:numId w:val="0"/>
        </w:numPr>
        <w:spacing w:line="560" w:lineRule="exact"/>
        <w:ind w:firstLine="560" w:firstLineChars="200"/>
        <w:rPr>
          <w:rFonts w:hint="eastAsia" w:ascii="仿宋_GB2312" w:eastAsia="仿宋_GB2312"/>
          <w:color w:val="000000"/>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eastAsia="zh-CN"/>
        </w:rPr>
        <w:t>卫</w:t>
      </w:r>
      <w:r>
        <w:rPr>
          <w:rFonts w:hint="eastAsia" w:ascii="仿宋_GB2312" w:eastAsia="仿宋_GB2312"/>
          <w:color w:val="000000"/>
          <w:sz w:val="28"/>
          <w:szCs w:val="28"/>
          <w:lang w:eastAsia="zh-CN"/>
        </w:rPr>
        <w:t>生健康支出</w:t>
      </w:r>
      <w:r>
        <w:rPr>
          <w:rFonts w:hint="eastAsia" w:ascii="仿宋_GB2312" w:eastAsia="仿宋_GB2312"/>
          <w:color w:val="000000"/>
          <w:sz w:val="28"/>
          <w:szCs w:val="28"/>
        </w:rPr>
        <w:t>”(类)</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114.74</w:t>
      </w:r>
      <w:r>
        <w:rPr>
          <w:rFonts w:hint="eastAsia" w:ascii="仿宋_GB2312" w:eastAsia="仿宋_GB2312"/>
          <w:sz w:val="28"/>
          <w:szCs w:val="28"/>
          <w:lang w:val="en-US" w:eastAsia="zh-CN"/>
        </w:rPr>
        <w:t>万元，2024年度决算106.16万元，完成年初预算的92.52%。其中：</w:t>
      </w:r>
    </w:p>
    <w:p>
      <w:pPr>
        <w:ind w:left="126" w:leftChars="60"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rPr>
        <w:t>“</w:t>
      </w:r>
      <w:r>
        <w:rPr>
          <w:rFonts w:hint="eastAsia" w:ascii="仿宋_GB2312" w:eastAsia="仿宋_GB2312"/>
          <w:color w:val="000000"/>
          <w:sz w:val="28"/>
          <w:szCs w:val="28"/>
          <w:lang w:eastAsia="zh-CN"/>
        </w:rPr>
        <w:t>行政事业单位医疗</w:t>
      </w:r>
      <w:r>
        <w:rPr>
          <w:rFonts w:hint="eastAsia" w:ascii="仿宋_GB2312" w:eastAsia="仿宋_GB2312"/>
          <w:color w:val="000000"/>
          <w:sz w:val="28"/>
          <w:szCs w:val="28"/>
        </w:rPr>
        <w:t>”（款）</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114.74</w:t>
      </w:r>
      <w:r>
        <w:rPr>
          <w:rFonts w:hint="eastAsia" w:ascii="仿宋_GB2312" w:eastAsia="仿宋_GB2312"/>
          <w:sz w:val="28"/>
          <w:szCs w:val="28"/>
          <w:lang w:val="en-US" w:eastAsia="zh-CN"/>
        </w:rPr>
        <w:t>万元，2024年度决算106.16万元，完成年初预算的92.52%。</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：行政单位医疗及公务员医疗补助</w:t>
      </w:r>
      <w:r>
        <w:rPr>
          <w:rFonts w:hint="eastAsia" w:ascii="仿宋_GB2312" w:eastAsia="仿宋_GB2312"/>
          <w:color w:val="000000"/>
          <w:sz w:val="28"/>
          <w:szCs w:val="28"/>
          <w:lang w:val="en-US" w:eastAsia="zh-CN"/>
        </w:rPr>
        <w:t>缴存基数调整</w:t>
      </w:r>
      <w:r>
        <w:rPr>
          <w:rFonts w:hint="eastAsia" w:ascii="仿宋_GB2312" w:hAnsi="仿宋_GB2312" w:eastAsia="仿宋_GB2312" w:cs="仿宋_GB2312"/>
          <w:color w:val="000000"/>
          <w:sz w:val="28"/>
          <w:szCs w:val="28"/>
          <w:lang w:eastAsia="zh-CN"/>
        </w:rPr>
        <w:t>及人员增减变化</w:t>
      </w:r>
      <w:r>
        <w:rPr>
          <w:rFonts w:hint="eastAsia" w:ascii="仿宋" w:hAnsi="仿宋" w:eastAsia="仿宋" w:cs="仿宋"/>
          <w:bCs/>
          <w:sz w:val="28"/>
          <w:szCs w:val="28"/>
          <w:lang w:val="en-US" w:eastAsia="zh-CN"/>
        </w:rPr>
        <w:t>所致。</w:t>
      </w:r>
    </w:p>
    <w:p>
      <w:pPr>
        <w:numPr>
          <w:ilvl w:val="0"/>
          <w:numId w:val="0"/>
        </w:numPr>
        <w:spacing w:line="560" w:lineRule="exact"/>
        <w:ind w:firstLine="560" w:firstLineChars="200"/>
        <w:rPr>
          <w:rFonts w:hint="eastAsia" w:ascii="仿宋_GB2312" w:eastAsia="仿宋_GB2312"/>
          <w:color w:val="000000"/>
          <w:sz w:val="28"/>
          <w:szCs w:val="28"/>
          <w:lang w:val="en-US" w:eastAsia="zh-CN"/>
        </w:rPr>
      </w:pPr>
      <w:r>
        <w:rPr>
          <w:rFonts w:hint="eastAsia" w:ascii="仿宋_GB2312" w:eastAsia="仿宋_GB2312"/>
          <w:color w:val="auto"/>
          <w:sz w:val="28"/>
          <w:szCs w:val="28"/>
          <w:lang w:val="en-US" w:eastAsia="zh-CN"/>
        </w:rPr>
        <w:t>4、“农林水支</w:t>
      </w:r>
      <w:r>
        <w:rPr>
          <w:rFonts w:hint="eastAsia" w:ascii="仿宋_GB2312" w:eastAsia="仿宋_GB2312"/>
          <w:color w:val="000000"/>
          <w:sz w:val="28"/>
          <w:szCs w:val="28"/>
          <w:lang w:val="en-US" w:eastAsia="zh-CN"/>
        </w:rPr>
        <w:t>出”（类）</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1222.04</w:t>
      </w:r>
      <w:r>
        <w:rPr>
          <w:rFonts w:hint="eastAsia" w:ascii="仿宋_GB2312" w:eastAsia="仿宋_GB2312"/>
          <w:sz w:val="28"/>
          <w:szCs w:val="28"/>
          <w:lang w:val="en-US" w:eastAsia="zh-CN"/>
        </w:rPr>
        <w:t>万元，2024年度决算1249.16万元，完成年初预算的102.22%。其中：</w:t>
      </w:r>
    </w:p>
    <w:p>
      <w:pPr>
        <w:numPr>
          <w:ilvl w:val="0"/>
          <w:numId w:val="0"/>
        </w:numPr>
        <w:spacing w:line="560" w:lineRule="exact"/>
        <w:ind w:firstLine="840" w:firstLineChars="300"/>
        <w:rPr>
          <w:rFonts w:hint="eastAsia" w:ascii="仿宋_GB2312" w:eastAsia="仿宋_GB2312"/>
          <w:sz w:val="28"/>
          <w:szCs w:val="28"/>
        </w:rPr>
      </w:pPr>
      <w:r>
        <w:rPr>
          <w:rFonts w:hint="eastAsia" w:ascii="仿宋_GB2312" w:eastAsia="仿宋_GB2312"/>
          <w:color w:val="000000"/>
          <w:sz w:val="28"/>
          <w:szCs w:val="28"/>
          <w:lang w:val="en-US" w:eastAsia="zh-CN"/>
        </w:rPr>
        <w:t>“农业农村”（款）</w:t>
      </w:r>
      <w:r>
        <w:rPr>
          <w:rFonts w:hint="eastAsia" w:ascii="仿宋_GB2312" w:eastAsia="仿宋_GB2312"/>
          <w:sz w:val="28"/>
          <w:szCs w:val="28"/>
          <w:lang w:val="en-US" w:eastAsia="zh-CN"/>
        </w:rPr>
        <w:t>2024年度年初预算</w:t>
      </w:r>
      <w:r>
        <w:rPr>
          <w:rFonts w:hint="eastAsia" w:ascii="仿宋_GB2312" w:eastAsia="仿宋_GB2312"/>
          <w:color w:val="000000"/>
          <w:sz w:val="28"/>
          <w:szCs w:val="28"/>
          <w:lang w:val="en-US" w:eastAsia="zh-CN"/>
        </w:rPr>
        <w:t>1222.04</w:t>
      </w:r>
      <w:r>
        <w:rPr>
          <w:rFonts w:hint="eastAsia" w:ascii="仿宋_GB2312" w:eastAsia="仿宋_GB2312"/>
          <w:sz w:val="28"/>
          <w:szCs w:val="28"/>
          <w:lang w:val="en-US" w:eastAsia="zh-CN"/>
        </w:rPr>
        <w:t>万元，2024年度决算1249.16万元，完成年初预算的102.22%</w:t>
      </w:r>
      <w:r>
        <w:rPr>
          <w:rFonts w:hint="eastAsia" w:ascii="仿宋_GB2312" w:eastAsia="仿宋_GB2312"/>
          <w:color w:val="000000"/>
          <w:sz w:val="28"/>
          <w:szCs w:val="28"/>
          <w:lang w:val="en-US" w:eastAsia="zh-CN"/>
        </w:rPr>
        <w:t>。主要原因是人员薪资调整所致。</w:t>
      </w:r>
    </w:p>
    <w:p>
      <w:pPr>
        <w:numPr>
          <w:ilvl w:val="0"/>
          <w:numId w:val="2"/>
        </w:num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“住房保障支出”（类）2024年度年初预算</w:t>
      </w:r>
      <w:r>
        <w:rPr>
          <w:rFonts w:hint="eastAsia" w:ascii="仿宋_GB2312" w:eastAsia="仿宋_GB2312"/>
          <w:color w:val="000000"/>
          <w:sz w:val="28"/>
          <w:szCs w:val="28"/>
          <w:lang w:val="en-US" w:eastAsia="zh-CN"/>
        </w:rPr>
        <w:t>0</w:t>
      </w:r>
      <w:r>
        <w:rPr>
          <w:rFonts w:hint="eastAsia" w:ascii="仿宋_GB2312" w:eastAsia="仿宋_GB2312"/>
          <w:sz w:val="28"/>
          <w:szCs w:val="28"/>
          <w:lang w:val="en-US" w:eastAsia="zh-CN"/>
        </w:rPr>
        <w:t>万元，2024年度决算81.34万元。其中：</w:t>
      </w:r>
    </w:p>
    <w:p>
      <w:pPr>
        <w:spacing w:line="580" w:lineRule="exact"/>
        <w:ind w:firstLine="1120" w:firstLineChars="400"/>
        <w:rPr>
          <w:rFonts w:hint="eastAsia" w:ascii="仿宋_GB2312" w:eastAsia="仿宋_GB2312"/>
          <w:sz w:val="28"/>
          <w:szCs w:val="28"/>
        </w:rPr>
      </w:pPr>
      <w:r>
        <w:rPr>
          <w:rFonts w:hint="eastAsia" w:ascii="仿宋_GB2312" w:eastAsia="仿宋_GB2312"/>
          <w:sz w:val="28"/>
          <w:szCs w:val="28"/>
          <w:lang w:val="en-US" w:eastAsia="zh-CN"/>
        </w:rPr>
        <w:t>“住房改革支出”（款）2024年度年初预算</w:t>
      </w:r>
      <w:r>
        <w:rPr>
          <w:rFonts w:hint="eastAsia" w:ascii="仿宋_GB2312" w:eastAsia="仿宋_GB2312"/>
          <w:color w:val="000000"/>
          <w:sz w:val="28"/>
          <w:szCs w:val="28"/>
          <w:lang w:val="en-US" w:eastAsia="zh-CN"/>
        </w:rPr>
        <w:t>0</w:t>
      </w:r>
      <w:r>
        <w:rPr>
          <w:rFonts w:hint="eastAsia" w:ascii="仿宋_GB2312" w:eastAsia="仿宋_GB2312"/>
          <w:sz w:val="28"/>
          <w:szCs w:val="28"/>
          <w:lang w:val="en-US" w:eastAsia="zh-CN"/>
        </w:rPr>
        <w:t>万元，2024年度决算81.34万元。增长原因为发放购房补贴所致。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20</w:t>
      </w:r>
      <w:r>
        <w:rPr>
          <w:rFonts w:hint="eastAsia" w:ascii="仿宋_GB2312" w:eastAsia="仿宋_GB2312"/>
          <w:color w:val="000000"/>
          <w:sz w:val="28"/>
          <w:szCs w:val="28"/>
          <w:lang w:val="en-US" w:eastAsia="zh-CN"/>
        </w:rPr>
        <w:t>24</w:t>
      </w:r>
      <w:r>
        <w:rPr>
          <w:rFonts w:hint="eastAsia" w:ascii="仿宋_GB2312" w:eastAsia="仿宋_GB2312"/>
          <w:color w:val="000000"/>
          <w:sz w:val="28"/>
          <w:szCs w:val="28"/>
        </w:rPr>
        <w:t>度</w:t>
      </w:r>
      <w:r>
        <w:rPr>
          <w:rFonts w:hint="eastAsia" w:ascii="仿宋_GB2312" w:eastAsia="仿宋_GB2312"/>
          <w:color w:val="000000"/>
          <w:sz w:val="28"/>
          <w:szCs w:val="28"/>
          <w:lang w:eastAsia="zh-CN"/>
        </w:rPr>
        <w:t>无政府性基金预算财政拨款安排的支出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color w:val="000000"/>
          <w:sz w:val="28"/>
          <w:szCs w:val="28"/>
        </w:rPr>
        <w:t>20</w:t>
      </w:r>
      <w:r>
        <w:rPr>
          <w:rFonts w:hint="eastAsia" w:ascii="仿宋_GB2312" w:eastAsia="仿宋_GB2312"/>
          <w:color w:val="000000"/>
          <w:sz w:val="28"/>
          <w:szCs w:val="28"/>
          <w:lang w:val="en-US" w:eastAsia="zh-CN"/>
        </w:rPr>
        <w:t>24</w:t>
      </w:r>
      <w:r>
        <w:rPr>
          <w:rFonts w:hint="eastAsia" w:ascii="仿宋_GB2312" w:eastAsia="仿宋_GB2312"/>
          <w:color w:val="000000"/>
          <w:sz w:val="28"/>
          <w:szCs w:val="28"/>
        </w:rPr>
        <w:t>度</w:t>
      </w:r>
      <w:r>
        <w:rPr>
          <w:rFonts w:hint="eastAsia" w:ascii="仿宋_GB2312" w:eastAsia="仿宋_GB2312"/>
          <w:color w:val="000000"/>
          <w:sz w:val="28"/>
          <w:szCs w:val="28"/>
          <w:lang w:eastAsia="zh-CN"/>
        </w:rPr>
        <w:t>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ascii="仿宋_GB2312" w:eastAsia="仿宋_GB2312"/>
          <w:color w:val="auto"/>
          <w:sz w:val="28"/>
          <w:szCs w:val="28"/>
        </w:rPr>
        <w:t>20</w:t>
      </w:r>
      <w:r>
        <w:rPr>
          <w:rFonts w:hint="eastAsia" w:ascii="仿宋_GB2312" w:eastAsia="仿宋_GB2312"/>
          <w:color w:val="auto"/>
          <w:sz w:val="28"/>
          <w:szCs w:val="28"/>
        </w:rPr>
        <w:t>24年度使用一般公共预算财政</w:t>
      </w:r>
      <w:r>
        <w:rPr>
          <w:rFonts w:hint="eastAsia" w:ascii="仿宋_GB2312" w:eastAsia="仿宋_GB2312"/>
          <w:sz w:val="28"/>
          <w:szCs w:val="28"/>
        </w:rPr>
        <w:t>拨款安排基本支出</w:t>
      </w:r>
      <w:r>
        <w:rPr>
          <w:rFonts w:hint="eastAsia" w:ascii="仿宋_GB2312" w:eastAsia="仿宋_GB2312"/>
          <w:sz w:val="28"/>
          <w:szCs w:val="28"/>
          <w:lang w:val="en-US" w:eastAsia="zh-CN"/>
        </w:rPr>
        <w:t>1344.32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其中：（1）工资福利支出</w:t>
      </w:r>
      <w:r>
        <w:rPr>
          <w:rFonts w:hint="eastAsia" w:ascii="仿宋_GB2312" w:eastAsia="仿宋_GB2312"/>
          <w:sz w:val="28"/>
          <w:szCs w:val="28"/>
          <w:lang w:val="en-US" w:eastAsia="zh-CN"/>
        </w:rPr>
        <w:t>1242.68万元，</w:t>
      </w:r>
      <w:r>
        <w:rPr>
          <w:rFonts w:hint="eastAsia" w:ascii="仿宋_GB2312" w:eastAsia="仿宋_GB2312"/>
          <w:sz w:val="28"/>
          <w:szCs w:val="28"/>
        </w:rPr>
        <w:t>包括基本工资</w:t>
      </w:r>
      <w:r>
        <w:rPr>
          <w:rFonts w:hint="eastAsia" w:ascii="仿宋_GB2312" w:eastAsia="仿宋_GB2312"/>
          <w:sz w:val="28"/>
          <w:szCs w:val="28"/>
          <w:lang w:val="en-US" w:eastAsia="zh-CN"/>
        </w:rPr>
        <w:t>164.88万元</w:t>
      </w:r>
      <w:r>
        <w:rPr>
          <w:rFonts w:ascii="仿宋_GB2312" w:eastAsia="仿宋_GB2312"/>
          <w:sz w:val="28"/>
          <w:szCs w:val="28"/>
        </w:rPr>
        <w:t>、津贴补贴</w:t>
      </w:r>
      <w:r>
        <w:rPr>
          <w:rFonts w:hint="eastAsia" w:ascii="仿宋_GB2312" w:eastAsia="仿宋_GB2312"/>
          <w:sz w:val="28"/>
          <w:szCs w:val="28"/>
          <w:lang w:val="en-US" w:eastAsia="zh-CN"/>
        </w:rPr>
        <w:t>471.78万元</w:t>
      </w:r>
      <w:r>
        <w:rPr>
          <w:rFonts w:ascii="仿宋_GB2312" w:eastAsia="仿宋_GB2312"/>
          <w:sz w:val="28"/>
          <w:szCs w:val="28"/>
        </w:rPr>
        <w:t>、奖金</w:t>
      </w:r>
      <w:r>
        <w:rPr>
          <w:rFonts w:hint="eastAsia" w:ascii="仿宋_GB2312" w:eastAsia="仿宋_GB2312"/>
          <w:sz w:val="28"/>
          <w:szCs w:val="28"/>
          <w:lang w:val="en-US" w:eastAsia="zh-CN"/>
        </w:rPr>
        <w:t>248.36万元</w:t>
      </w:r>
      <w:r>
        <w:rPr>
          <w:rFonts w:ascii="仿宋_GB2312" w:eastAsia="仿宋_GB2312"/>
          <w:sz w:val="28"/>
          <w:szCs w:val="28"/>
        </w:rPr>
        <w:t>、</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94.72万元、职业年金缴费47.36万元</w:t>
      </w:r>
      <w:r>
        <w:rPr>
          <w:rFonts w:ascii="仿宋_GB2312" w:eastAsia="仿宋_GB2312"/>
          <w:sz w:val="28"/>
          <w:szCs w:val="28"/>
        </w:rPr>
        <w:t>、</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81.28万元、公务员医疗补助缴费24.88万元、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15.19万元、住房公积金94.23万元。</w:t>
      </w:r>
      <w:r>
        <w:rPr>
          <w:rFonts w:hint="eastAsia" w:ascii="仿宋_GB2312" w:eastAsia="仿宋_GB2312"/>
          <w:sz w:val="28"/>
          <w:szCs w:val="28"/>
        </w:rPr>
        <w:t>（2）商品和服务支出</w:t>
      </w:r>
      <w:r>
        <w:rPr>
          <w:rFonts w:hint="eastAsia" w:ascii="仿宋_GB2312" w:eastAsia="仿宋_GB2312"/>
          <w:sz w:val="28"/>
          <w:szCs w:val="28"/>
          <w:lang w:val="en-US" w:eastAsia="zh-CN"/>
        </w:rPr>
        <w:t>69.70万元，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lang w:val="en-US" w:eastAsia="zh-CN"/>
        </w:rPr>
        <w:t>5.09万元</w:t>
      </w:r>
      <w:r>
        <w:rPr>
          <w:rFonts w:ascii="仿宋_GB2312" w:eastAsia="仿宋_GB2312"/>
          <w:sz w:val="28"/>
          <w:szCs w:val="28"/>
        </w:rPr>
        <w:t>、差旅费</w:t>
      </w:r>
      <w:r>
        <w:rPr>
          <w:rFonts w:hint="eastAsia" w:ascii="仿宋_GB2312" w:eastAsia="仿宋_GB2312"/>
          <w:sz w:val="28"/>
          <w:szCs w:val="28"/>
          <w:lang w:val="en-US" w:eastAsia="zh-CN"/>
        </w:rPr>
        <w:t>0.69万元</w:t>
      </w:r>
      <w:r>
        <w:rPr>
          <w:rFonts w:ascii="仿宋_GB2312" w:eastAsia="仿宋_GB2312"/>
          <w:sz w:val="28"/>
          <w:szCs w:val="28"/>
        </w:rPr>
        <w:t>、维修（护）费</w:t>
      </w:r>
      <w:r>
        <w:rPr>
          <w:rFonts w:hint="eastAsia" w:ascii="仿宋_GB2312" w:eastAsia="仿宋_GB2312"/>
          <w:sz w:val="28"/>
          <w:szCs w:val="28"/>
          <w:lang w:val="en-US" w:eastAsia="zh-CN"/>
        </w:rPr>
        <w:t>2.99万元</w:t>
      </w:r>
      <w:r>
        <w:rPr>
          <w:rFonts w:ascii="仿宋_GB2312" w:eastAsia="仿宋_GB2312"/>
          <w:sz w:val="28"/>
          <w:szCs w:val="28"/>
        </w:rPr>
        <w:t>、培训费</w:t>
      </w:r>
      <w:r>
        <w:rPr>
          <w:rFonts w:hint="eastAsia" w:ascii="仿宋_GB2312" w:eastAsia="仿宋_GB2312"/>
          <w:sz w:val="28"/>
          <w:szCs w:val="28"/>
          <w:lang w:val="en-US" w:eastAsia="zh-CN"/>
        </w:rPr>
        <w:t>0.34万元</w:t>
      </w:r>
      <w:r>
        <w:rPr>
          <w:rFonts w:ascii="仿宋_GB2312" w:eastAsia="仿宋_GB2312"/>
          <w:sz w:val="28"/>
          <w:szCs w:val="28"/>
        </w:rPr>
        <w:t>、工会经费</w:t>
      </w:r>
      <w:r>
        <w:rPr>
          <w:rFonts w:hint="eastAsia" w:ascii="仿宋_GB2312" w:eastAsia="仿宋_GB2312"/>
          <w:sz w:val="28"/>
          <w:szCs w:val="28"/>
          <w:lang w:val="en-US" w:eastAsia="zh-CN"/>
        </w:rPr>
        <w:t>15.34万元</w:t>
      </w:r>
      <w:r>
        <w:rPr>
          <w:rFonts w:ascii="仿宋_GB2312" w:eastAsia="仿宋_GB2312"/>
          <w:sz w:val="28"/>
          <w:szCs w:val="28"/>
        </w:rPr>
        <w:t>、福利费</w:t>
      </w:r>
      <w:r>
        <w:rPr>
          <w:rFonts w:hint="eastAsia" w:ascii="仿宋_GB2312" w:eastAsia="仿宋_GB2312"/>
          <w:sz w:val="28"/>
          <w:szCs w:val="28"/>
          <w:lang w:val="en-US" w:eastAsia="zh-CN"/>
        </w:rPr>
        <w:t>10.89万元</w:t>
      </w:r>
      <w:r>
        <w:rPr>
          <w:rFonts w:ascii="仿宋_GB2312" w:eastAsia="仿宋_GB2312"/>
          <w:sz w:val="28"/>
          <w:szCs w:val="28"/>
        </w:rPr>
        <w:t>、公务用车运行维护费</w:t>
      </w:r>
      <w:r>
        <w:rPr>
          <w:rFonts w:hint="eastAsia" w:ascii="仿宋_GB2312" w:eastAsia="仿宋_GB2312"/>
          <w:sz w:val="28"/>
          <w:szCs w:val="28"/>
          <w:lang w:val="en-US" w:eastAsia="zh-CN"/>
        </w:rPr>
        <w:t>0.34万元</w:t>
      </w:r>
      <w:r>
        <w:rPr>
          <w:rFonts w:ascii="仿宋_GB2312" w:eastAsia="仿宋_GB2312"/>
          <w:sz w:val="28"/>
          <w:szCs w:val="28"/>
        </w:rPr>
        <w:t>、其他交通费</w:t>
      </w:r>
      <w:r>
        <w:rPr>
          <w:rFonts w:hint="eastAsia" w:ascii="仿宋_GB2312" w:eastAsia="仿宋_GB2312"/>
          <w:sz w:val="28"/>
          <w:szCs w:val="28"/>
          <w:lang w:val="en-US" w:eastAsia="zh-CN"/>
        </w:rPr>
        <w:t>31.78万元</w:t>
      </w:r>
      <w:r>
        <w:rPr>
          <w:rFonts w:ascii="仿宋_GB2312" w:eastAsia="仿宋_GB2312"/>
          <w:sz w:val="28"/>
          <w:szCs w:val="28"/>
        </w:rPr>
        <w:t>、其他商品和服务支出</w:t>
      </w:r>
      <w:r>
        <w:rPr>
          <w:rFonts w:hint="eastAsia" w:ascii="仿宋_GB2312" w:eastAsia="仿宋_GB2312"/>
          <w:sz w:val="28"/>
          <w:szCs w:val="28"/>
          <w:lang w:val="en-US" w:eastAsia="zh-CN"/>
        </w:rPr>
        <w:t>2.24万元。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30.94万元，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30.82万元</w:t>
      </w:r>
      <w:r>
        <w:rPr>
          <w:rFonts w:ascii="仿宋_GB2312" w:eastAsia="仿宋_GB2312"/>
          <w:sz w:val="28"/>
          <w:szCs w:val="28"/>
        </w:rPr>
        <w:t>、奖励金</w:t>
      </w:r>
      <w:r>
        <w:rPr>
          <w:rFonts w:hint="eastAsia" w:ascii="仿宋_GB2312" w:eastAsia="仿宋_GB2312"/>
          <w:sz w:val="28"/>
          <w:szCs w:val="28"/>
          <w:lang w:val="en-US" w:eastAsia="zh-CN"/>
        </w:rPr>
        <w:t>0.12万元</w:t>
      </w:r>
      <w:r>
        <w:rPr>
          <w:rFonts w:hint="eastAsia" w:ascii="仿宋_GB2312" w:eastAsia="仿宋_GB2312"/>
          <w:sz w:val="28"/>
          <w:szCs w:val="28"/>
        </w:rPr>
        <w:t>。（4）其他资本性支出</w:t>
      </w:r>
      <w:r>
        <w:rPr>
          <w:rFonts w:hint="eastAsia" w:ascii="仿宋_GB2312" w:eastAsia="仿宋_GB2312"/>
          <w:sz w:val="28"/>
          <w:szCs w:val="28"/>
          <w:lang w:val="en-US" w:eastAsia="zh-CN"/>
        </w:rPr>
        <w:t>1万元，</w:t>
      </w:r>
      <w:r>
        <w:rPr>
          <w:rFonts w:hint="eastAsia" w:ascii="仿宋_GB2312" w:eastAsia="仿宋_GB2312"/>
          <w:sz w:val="28"/>
          <w:szCs w:val="28"/>
        </w:rPr>
        <w:t>包括</w:t>
      </w:r>
      <w:r>
        <w:rPr>
          <w:rFonts w:ascii="仿宋_GB2312" w:eastAsia="仿宋_GB2312"/>
          <w:sz w:val="28"/>
          <w:szCs w:val="28"/>
        </w:rPr>
        <w:t>办公设备购置</w:t>
      </w:r>
      <w:r>
        <w:rPr>
          <w:rFonts w:hint="eastAsia" w:ascii="仿宋_GB2312" w:eastAsia="仿宋_GB2312"/>
          <w:sz w:val="28"/>
          <w:szCs w:val="28"/>
          <w:lang w:val="en-US" w:eastAsia="zh-CN"/>
        </w:rPr>
        <w:t>1万元</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hint="eastAsia" w:ascii="仿宋_GB2312" w:eastAsia="仿宋_GB2312"/>
          <w:sz w:val="28"/>
          <w:szCs w:val="28"/>
          <w:lang w:val="en-US" w:eastAsia="zh-CN"/>
        </w:rPr>
        <w:t>5.06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此部分资金年初不做预算，待实际发生时再追加资金</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：单位严格执行公务接待管理办法，厉行节约减少不必要的公务招待，</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5.4万元</w:t>
      </w:r>
      <w:r>
        <w:rPr>
          <w:rFonts w:hint="eastAsia" w:ascii="仿宋_GB2312" w:eastAsia="仿宋_GB2312"/>
          <w:sz w:val="28"/>
          <w:szCs w:val="28"/>
        </w:rPr>
        <w:t>减少</w:t>
      </w:r>
      <w:r>
        <w:rPr>
          <w:rFonts w:hint="eastAsia" w:ascii="仿宋_GB2312" w:eastAsia="仿宋_GB2312"/>
          <w:sz w:val="28"/>
          <w:szCs w:val="28"/>
          <w:lang w:val="en-US" w:eastAsia="zh-CN"/>
        </w:rPr>
        <w:t>5.06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：公车购置年初不做预算，待实际发生时再追加资金，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w:t>
      </w:r>
      <w:r>
        <w:rPr>
          <w:rFonts w:hint="eastAsia" w:ascii="仿宋_GB2312" w:eastAsia="仿宋_GB2312"/>
          <w:sz w:val="28"/>
          <w:szCs w:val="28"/>
          <w:lang w:eastAsia="zh-CN"/>
        </w:rPr>
        <w:t>公车购置年初不做预算，待实际发生时再追加资金，本年无新车购置</w:t>
      </w:r>
      <w:r>
        <w:rPr>
          <w:rFonts w:hint="eastAsia" w:ascii="仿宋_GB2312" w:eastAsia="仿宋_GB2312"/>
          <w:sz w:val="28"/>
          <w:szCs w:val="28"/>
          <w:lang w:val="en-US"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0.34</w:t>
      </w:r>
      <w:r>
        <w:rPr>
          <w:rFonts w:hint="eastAsia" w:ascii="仿宋_GB2312" w:eastAsia="仿宋_GB2312"/>
          <w:sz w:val="28"/>
          <w:szCs w:val="28"/>
        </w:rPr>
        <w:t>万元，主要原因：</w:t>
      </w:r>
      <w:r>
        <w:rPr>
          <w:rFonts w:hint="eastAsia" w:ascii="仿宋_GB2312" w:eastAsia="仿宋_GB2312"/>
          <w:sz w:val="28"/>
          <w:szCs w:val="28"/>
          <w:lang w:eastAsia="zh-CN"/>
        </w:rPr>
        <w:t>一是严格执行公车改革公车使用管理办法，减少公车公务出行；二是本年报废公车</w:t>
      </w:r>
      <w:r>
        <w:rPr>
          <w:rFonts w:hint="eastAsia" w:ascii="仿宋_GB2312" w:eastAsia="仿宋_GB2312"/>
          <w:sz w:val="28"/>
          <w:szCs w:val="28"/>
          <w:lang w:val="en-US" w:eastAsia="zh-CN"/>
        </w:rPr>
        <w:t>1辆，调拨给大兴区机关事务管理中心公车1辆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70.7</w:t>
      </w:r>
      <w:r>
        <w:rPr>
          <w:rFonts w:hint="eastAsia" w:ascii="仿宋_GB2312" w:eastAsia="仿宋_GB2312"/>
          <w:sz w:val="28"/>
          <w:szCs w:val="28"/>
        </w:rPr>
        <w:t>万元，比上年减少</w:t>
      </w:r>
      <w:r>
        <w:rPr>
          <w:rFonts w:hint="eastAsia" w:ascii="仿宋_GB2312" w:eastAsia="仿宋_GB2312"/>
          <w:sz w:val="28"/>
          <w:szCs w:val="28"/>
          <w:lang w:val="en-US" w:eastAsia="zh-CN"/>
        </w:rPr>
        <w:t>1.31</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1.81%，</w:t>
      </w:r>
      <w:r>
        <w:rPr>
          <w:rFonts w:hint="eastAsia" w:ascii="仿宋_GB2312" w:eastAsia="仿宋_GB2312"/>
          <w:sz w:val="28"/>
          <w:szCs w:val="28"/>
          <w:lang w:eastAsia="zh-CN"/>
        </w:rPr>
        <w:t>两年基本持平，变化不大</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1.58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0.33</w:t>
      </w:r>
      <w:r>
        <w:rPr>
          <w:rFonts w:hint="eastAsia" w:ascii="仿宋_GB2312" w:eastAsia="仿宋_GB2312"/>
          <w:sz w:val="28"/>
          <w:szCs w:val="28"/>
        </w:rPr>
        <w:t>万元。授予中小企业合同金额</w:t>
      </w:r>
      <w:r>
        <w:rPr>
          <w:rFonts w:ascii="仿宋_GB2312" w:eastAsia="仿宋_GB2312"/>
          <w:sz w:val="28"/>
          <w:szCs w:val="28"/>
        </w:rPr>
        <w:t>1.58</w:t>
      </w:r>
      <w:r>
        <w:rPr>
          <w:rFonts w:hint="eastAsia" w:ascii="仿宋_GB2312" w:eastAsia="仿宋_GB2312"/>
          <w:sz w:val="28"/>
          <w:szCs w:val="28"/>
        </w:rPr>
        <w:t>万元，占政府采购支出总额的</w:t>
      </w:r>
      <w:r>
        <w:rPr>
          <w:rFonts w:hint="eastAsia" w:ascii="仿宋_GB2312" w:eastAsia="仿宋_GB2312"/>
          <w:sz w:val="28"/>
          <w:szCs w:val="28"/>
          <w:lang w:eastAsia="zh-CN"/>
        </w:rPr>
        <w:t>82.54</w:t>
      </w:r>
      <w:r>
        <w:rPr>
          <w:rFonts w:hint="eastAsia" w:ascii="仿宋_GB2312" w:eastAsia="仿宋_GB2312"/>
          <w:sz w:val="28"/>
          <w:szCs w:val="28"/>
        </w:rPr>
        <w:t>%，其中：授予小微企业合同金额</w:t>
      </w:r>
      <w:r>
        <w:rPr>
          <w:rFonts w:ascii="仿宋_GB2312" w:eastAsia="仿宋_GB2312"/>
          <w:sz w:val="28"/>
          <w:szCs w:val="28"/>
        </w:rPr>
        <w:t>1.58</w:t>
      </w:r>
      <w:r>
        <w:rPr>
          <w:rFonts w:hint="eastAsia" w:ascii="仿宋_GB2312" w:eastAsia="仿宋_GB2312"/>
          <w:sz w:val="28"/>
          <w:szCs w:val="28"/>
        </w:rPr>
        <w:t>万元，占政府采购支出总额的</w:t>
      </w:r>
      <w:r>
        <w:rPr>
          <w:rFonts w:ascii="仿宋_GB2312" w:eastAsia="仿宋_GB2312"/>
          <w:sz w:val="28"/>
          <w:szCs w:val="28"/>
        </w:rPr>
        <w:t>82.54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12月31日，北京市大兴区农村合作经济经营管理站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b w:val="0"/>
          <w:bCs w:val="0"/>
          <w:sz w:val="28"/>
          <w:szCs w:val="28"/>
          <w:lang w:eastAsia="zh-CN"/>
        </w:rPr>
      </w:pPr>
      <w:r>
        <w:rPr>
          <w:rFonts w:hint="eastAsia" w:ascii="仿宋_GB2312" w:eastAsia="仿宋_GB2312"/>
          <w:sz w:val="28"/>
          <w:szCs w:val="28"/>
        </w:rPr>
        <w:t>7.</w:t>
      </w:r>
      <w:r>
        <w:rPr>
          <w:rFonts w:hint="eastAsia" w:ascii="仿宋_GB2312" w:eastAsia="仿宋_GB2312"/>
          <w:b w:val="0"/>
          <w:bCs w:val="0"/>
          <w:sz w:val="28"/>
          <w:szCs w:val="28"/>
          <w:lang w:eastAsia="zh-CN"/>
        </w:rPr>
        <w:t>本部门</w:t>
      </w:r>
      <w:r>
        <w:rPr>
          <w:rFonts w:hint="eastAsia" w:ascii="仿宋_GB2312" w:eastAsia="仿宋_GB2312"/>
          <w:sz w:val="28"/>
          <w:szCs w:val="28"/>
        </w:rPr>
        <w:t>当年使用的所有支出功能分类</w:t>
      </w:r>
      <w:r>
        <w:rPr>
          <w:rFonts w:hint="eastAsia" w:ascii="仿宋_GB2312" w:eastAsia="仿宋_GB2312"/>
          <w:b w:val="0"/>
          <w:bCs/>
          <w:sz w:val="28"/>
          <w:szCs w:val="28"/>
        </w:rPr>
        <w:t>项级</w:t>
      </w:r>
      <w:r>
        <w:rPr>
          <w:rFonts w:hint="eastAsia" w:ascii="仿宋_GB2312" w:eastAsia="仿宋_GB2312"/>
          <w:sz w:val="28"/>
          <w:szCs w:val="28"/>
        </w:rPr>
        <w:t>科目名词解释</w:t>
      </w:r>
      <w:r>
        <w:rPr>
          <w:rFonts w:hint="eastAsia" w:ascii="仿宋_GB2312" w:eastAsia="仿宋_GB2312"/>
          <w:b w:val="0"/>
          <w:bCs w:val="0"/>
          <w:sz w:val="28"/>
          <w:szCs w:val="28"/>
          <w:lang w:eastAsia="zh-CN"/>
        </w:rPr>
        <w:t>。</w:t>
      </w:r>
    </w:p>
    <w:p>
      <w:pPr>
        <w:ind w:firstLine="560" w:firstLineChars="200"/>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教育支出（类）进修及培训（款）培训支出（项）：反应各部门安排的用于培训的支出。教育部门的师资培训，党校、行政学院等专业干部教育机构的支出，以及退役退役士兵、转业士官的培训支出，不在本科目反映。</w:t>
      </w:r>
    </w:p>
    <w:p>
      <w:pPr>
        <w:ind w:firstLine="560" w:firstLineChars="200"/>
        <w:rPr>
          <w:rFonts w:hint="eastAsia" w:ascii="仿宋_GB2312" w:eastAsia="仿宋_GB2312"/>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rPr>
        <w:t>行政单位离退休（项）：反映用于行政单位（包括实行公务员管理的事业单位）开支的离退休经费。</w:t>
      </w:r>
    </w:p>
    <w:p>
      <w:p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机关事业单位实施养老保险制度由单位缴纳的基本养老保险费支出</w:t>
      </w:r>
      <w:r>
        <w:rPr>
          <w:rFonts w:hint="eastAsia" w:ascii="仿宋_GB2312" w:eastAsia="仿宋_GB2312"/>
          <w:b w:val="0"/>
          <w:bCs w:val="0"/>
          <w:sz w:val="28"/>
          <w:szCs w:val="28"/>
        </w:rPr>
        <w:t>。</w:t>
      </w:r>
    </w:p>
    <w:p>
      <w:p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机关事业单位实施养老保险制度由单位缴纳的职业年金支出</w:t>
      </w:r>
      <w:r>
        <w:rPr>
          <w:rFonts w:hint="eastAsia" w:ascii="仿宋_GB2312" w:eastAsia="仿宋_GB2312"/>
          <w:b w:val="0"/>
          <w:bCs w:val="0"/>
          <w:sz w:val="28"/>
          <w:szCs w:val="28"/>
        </w:rPr>
        <w:t>。</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卫生健康支出（类）行政事业单位医疗（款）行政单位医疗（项）：反应财政部门安排的行政单位（包括实行公务员管理的事业单位，下同）基本医疗保险缴费经费，未参加医疗保险的行政单位的公费医疗经费，按照国家规定享受离休人员、红军老战士待遇人员的医疗经费。</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卫生健康支出（类）行政事业单位医疗（款）公务员医疗补助（项）：反应财政部门安排的公务员医疗补助经费。</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b w:val="0"/>
          <w:bCs w:val="0"/>
          <w:sz w:val="28"/>
          <w:szCs w:val="28"/>
        </w:rPr>
      </w:pPr>
      <w:r>
        <w:rPr>
          <w:rFonts w:hint="eastAsia" w:ascii="仿宋_GB2312" w:eastAsia="仿宋_GB2312"/>
          <w:b w:val="0"/>
          <w:bCs w:val="0"/>
          <w:sz w:val="28"/>
          <w:szCs w:val="28"/>
          <w:lang w:eastAsia="zh-CN"/>
        </w:rPr>
        <w:t>农林水支出（类）农业农村（款）行政运行（项）：反应行政单位（包括实行公务员管理的事业单位）的基本支出。</w:t>
      </w:r>
    </w:p>
    <w:p>
      <w:pPr>
        <w:keepNext w:val="0"/>
        <w:keepLines w:val="0"/>
        <w:pageBreakBefore w:val="0"/>
        <w:widowControl w:val="0"/>
        <w:kinsoku/>
        <w:wordWrap/>
        <w:overflowPunct/>
        <w:topLinePunct/>
        <w:autoSpaceDE/>
        <w:autoSpaceDN/>
        <w:bidi w:val="0"/>
        <w:adjustRightInd/>
        <w:snapToGrid/>
        <w:spacing w:line="240" w:lineRule="auto"/>
        <w:ind w:right="0" w:rightChars="0" w:firstLine="560" w:firstLineChars="200"/>
        <w:jc w:val="both"/>
        <w:textAlignment w:val="auto"/>
        <w:outlineLvl w:val="9"/>
        <w:rPr>
          <w:rFonts w:hint="eastAsia" w:ascii="仿宋_GB2312" w:eastAsia="仿宋_GB2312"/>
          <w:b/>
          <w:sz w:val="28"/>
          <w:szCs w:val="28"/>
        </w:rPr>
      </w:pPr>
      <w:r>
        <w:rPr>
          <w:rFonts w:hint="eastAsia" w:ascii="仿宋_GB2312" w:eastAsia="仿宋_GB2312"/>
          <w:b w:val="0"/>
          <w:bCs w:val="0"/>
          <w:sz w:val="28"/>
          <w:szCs w:val="28"/>
          <w:lang w:eastAsia="zh-CN"/>
        </w:rPr>
        <w:t>农林水支出（类）农业农村（款）行业业务管理（项）：反映用于农业农村政策研究、规划编制、评审评估、绩效评价、监督检查等基本业务管理工作的支出。</w:t>
      </w:r>
    </w:p>
    <w:p>
      <w:pPr>
        <w:ind w:firstLine="420" w:firstLineChars="150"/>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农林水支出（类）农业农村（款）其他农业农村支出（项）：反映除上述项目以外其他用于农业农村方面的支出。</w:t>
      </w:r>
    </w:p>
    <w:p>
      <w:pPr>
        <w:pStyle w:val="6"/>
        <w:rPr>
          <w:rFonts w:hint="eastAsia"/>
          <w:lang w:val="en-US"/>
        </w:rPr>
      </w:pPr>
      <w:r>
        <w:rPr>
          <w:rFonts w:hint="eastAsia" w:ascii="仿宋_GB2312" w:eastAsia="仿宋_GB2312"/>
          <w:b w:val="0"/>
          <w:bCs w:val="0"/>
          <w:sz w:val="28"/>
          <w:szCs w:val="28"/>
          <w:lang w:val="en-US" w:eastAsia="zh-CN"/>
        </w:rPr>
        <w:t xml:space="preserve">   住房保障支出（类）住房改革支出（款）购房补贴（项）：反映按房改政策规定，行政事业单位向符合条件职工（含离退休人员）、军队、（含武警）向转役复员离退休人员发放的用于购买住房的补贴。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b/>
          <w:sz w:val="28"/>
          <w:szCs w:val="28"/>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3"/>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spacing w:line="560" w:lineRule="exact"/>
        <w:jc w:val="center"/>
        <w:rPr>
          <w:rFonts w:hint="eastAsia" w:ascii="楷体_GB2312" w:hAnsi="楷体_GB2312" w:eastAsia="楷体_GB2312" w:cs="楷体_GB2312"/>
          <w:b w:val="0"/>
          <w:bCs w:val="0"/>
          <w:sz w:val="32"/>
          <w:szCs w:val="32"/>
          <w:highlight w:val="none"/>
          <w:lang w:val="en-US" w:eastAsia="zh-CN"/>
        </w:rPr>
      </w:pPr>
    </w:p>
    <w:tbl>
      <w:tblPr>
        <w:tblStyle w:val="14"/>
        <w:tblpPr w:leftFromText="180" w:rightFromText="180" w:vertAnchor="text" w:horzAnchor="page" w:tblpX="1633" w:tblpY="-77"/>
        <w:tblOverlap w:val="never"/>
        <w:tblW w:w="147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1"/>
        <w:gridCol w:w="1022"/>
        <w:gridCol w:w="1462"/>
        <w:gridCol w:w="1460"/>
        <w:gridCol w:w="1371"/>
        <w:gridCol w:w="536"/>
        <w:gridCol w:w="1508"/>
        <w:gridCol w:w="1604"/>
        <w:gridCol w:w="1551"/>
        <w:gridCol w:w="1317"/>
        <w:gridCol w:w="253"/>
        <w:gridCol w:w="1100"/>
        <w:gridCol w:w="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4769"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769"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94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村级财务资产审计检查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3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区经管站</w:t>
            </w: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8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1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246.165488万元</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3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6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目标：实现农村财务及资产管理的科学化、规范化、制度化，做到账账相符、账卡相符、帐实相符，对村级财务及资产进行审计监督，维护集体经济利益和社会稳定。</w:t>
            </w:r>
          </w:p>
        </w:tc>
        <w:tc>
          <w:tcPr>
            <w:tcW w:w="66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开展并完成了对黄村、西红门、安定、旧宫、瀛海、亦庄六个镇188个村村级财务资产审计检查工作。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指标1：审计乡镇数量</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指标2：村级经济组织数量</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指标1：资产清查</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摸清家底理清权属关系</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通过审计对6个镇的资产进行了梳理盘点，摸清家底理清权属关系</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指标2：审计检查</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对审计出问题进行督导</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对审计查出问题进行指导整改。</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指标1：项目进度</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2024年12月31日</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指标1：项目预算资金安排</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财政资金拨款246.165488万元</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支出246.165488万元</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指标1：村级财务资产审计检查，维护集体经济利益和社会稳定</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加强农村集体经济财务管理。</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通过审计查出问题的整改加强财务管理。</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0"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指标1：村级财务资产审计检查，保证财政资金发挥实效</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实现农村财务及资产管理规范化、制度化，持续保持整改效果</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通过审计对财务及资产进行规范管理。</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指标1：相涉及单位满意度</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99.97%</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97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spacing w:line="560" w:lineRule="exact"/>
        <w:jc w:val="center"/>
        <w:rPr>
          <w:rFonts w:hint="eastAsia" w:ascii="楷体_GB2312" w:hAnsi="楷体_GB2312" w:eastAsia="楷体_GB2312" w:cs="楷体_GB2312"/>
          <w:b w:val="0"/>
          <w:bCs w:val="0"/>
          <w:sz w:val="32"/>
          <w:szCs w:val="32"/>
          <w:highlight w:val="none"/>
          <w:lang w:val="en-US" w:eastAsia="zh-CN"/>
        </w:rPr>
      </w:pPr>
    </w:p>
    <w:p>
      <w:pPr>
        <w:spacing w:line="560" w:lineRule="exact"/>
        <w:jc w:val="center"/>
        <w:rPr>
          <w:rFonts w:hint="eastAsia" w:ascii="楷体_GB2312" w:hAnsi="楷体_GB2312" w:eastAsia="楷体_GB2312" w:cs="楷体_GB2312"/>
          <w:b w:val="0"/>
          <w:bCs w:val="0"/>
          <w:sz w:val="32"/>
          <w:szCs w:val="32"/>
          <w:highlight w:val="none"/>
          <w:lang w:val="en-US" w:eastAsia="zh-CN"/>
        </w:rPr>
      </w:pPr>
    </w:p>
    <w:p/>
    <w:tbl>
      <w:tblPr>
        <w:tblStyle w:val="14"/>
        <w:tblpPr w:leftFromText="180" w:rightFromText="180" w:vertAnchor="text" w:horzAnchor="page" w:tblpX="2623" w:tblpY="71"/>
        <w:tblOverlap w:val="never"/>
        <w:tblW w:w="103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92"/>
        <w:gridCol w:w="819"/>
        <w:gridCol w:w="1308"/>
        <w:gridCol w:w="1304"/>
        <w:gridCol w:w="1010"/>
        <w:gridCol w:w="1239"/>
        <w:gridCol w:w="996"/>
        <w:gridCol w:w="921"/>
        <w:gridCol w:w="496"/>
        <w:gridCol w:w="618"/>
        <w:gridCol w:w="10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328"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0328"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91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11011524T000002732064-党建活动经费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8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9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1.26万元</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1.26万元</w:t>
            </w: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1.183179万元</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93.90%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1.26万元</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1.26万元</w:t>
            </w: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1.183179万元</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5"/>
                <w:lang w:val="en-US" w:eastAsia="zh-CN" w:bidi="ar"/>
              </w:rPr>
              <w:t xml:space="preserve">     上年结转资金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5"/>
                <w:lang w:val="en-US" w:eastAsia="zh-CN" w:bidi="ar"/>
              </w:rPr>
              <w:t xml:space="preserve">  其他资金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5"/>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6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依据【大兴区基层党组织党建活动经费管理规定】开展各类党建活动，发挥党建引领作用</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依据【大兴区基层党组织党建活动经费管理规定】开展各类党建活动，发挥党建引领作用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指标1：组织党员活动次数</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≥12次</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12次</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指标1：支付时间</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≤1.26万元</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1.183179万元</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5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35"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指标1：发挥党建引领作用</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切实发挥基层党组织的战斗堡垒作用和党员的先锋模范作用</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切实发挥基层党组织的战斗堡垒作用和党员的先锋模范作用</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指标1：党员满意度</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72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99.39</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spacing w:line="520" w:lineRule="exact"/>
        <w:ind w:firstLine="640" w:firstLineChars="200"/>
        <w:rPr>
          <w:rFonts w:hint="eastAsia" w:ascii="黑体" w:hAnsi="黑体" w:eastAsia="黑体" w:cs="黑体"/>
          <w:bCs/>
          <w:color w:val="000000"/>
          <w:kern w:val="0"/>
          <w:sz w:val="32"/>
          <w:szCs w:val="32"/>
        </w:rPr>
      </w:pPr>
    </w:p>
    <w:p>
      <w:pPr>
        <w:rPr>
          <w:rFonts w:hint="eastAsia"/>
          <w:lang w:val="en-US" w:eastAsia="zh-CN"/>
        </w:rPr>
      </w:pPr>
      <w:r>
        <w:rPr>
          <w:rFonts w:hint="eastAsia"/>
          <w:lang w:val="en-US" w:eastAsia="zh-CN"/>
        </w:rPr>
        <w:t xml:space="preserve">        </w:t>
      </w:r>
    </w:p>
    <w:p>
      <w:pPr>
        <w:rPr>
          <w:rFonts w:hint="eastAsia" w:eastAsia="宋体"/>
          <w:lang w:val="en-US" w:eastAsia="zh-CN"/>
        </w:rPr>
      </w:pPr>
    </w:p>
    <w:p>
      <w:pPr>
        <w:pStyle w:val="8"/>
        <w:rPr>
          <w:rFonts w:hint="eastAsia" w:eastAsia="宋体"/>
          <w:lang w:val="en-US" w:eastAsia="zh-CN"/>
        </w:rPr>
      </w:pPr>
    </w:p>
    <w:p>
      <w:pPr>
        <w:pStyle w:val="8"/>
        <w:rPr>
          <w:rFonts w:hint="eastAsia" w:eastAsia="宋体"/>
          <w:lang w:val="en-US" w:eastAsia="zh-CN"/>
        </w:rPr>
      </w:pPr>
    </w:p>
    <w:p>
      <w:pPr>
        <w:pStyle w:val="8"/>
        <w:rPr>
          <w:rFonts w:hint="eastAsia" w:eastAsia="宋体"/>
          <w:lang w:val="en-US" w:eastAsia="zh-CN"/>
        </w:rPr>
      </w:pPr>
    </w:p>
    <w:tbl>
      <w:tblPr>
        <w:tblStyle w:val="14"/>
        <w:tblpPr w:leftFromText="180" w:rightFromText="180" w:vertAnchor="text" w:horzAnchor="page" w:tblpX="2713" w:tblpY="744"/>
        <w:tblOverlap w:val="never"/>
        <w:tblW w:w="1032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96"/>
        <w:gridCol w:w="824"/>
        <w:gridCol w:w="1321"/>
        <w:gridCol w:w="1317"/>
        <w:gridCol w:w="1088"/>
        <w:gridCol w:w="1309"/>
        <w:gridCol w:w="1000"/>
        <w:gridCol w:w="928"/>
        <w:gridCol w:w="500"/>
        <w:gridCol w:w="618"/>
        <w:gridCol w:w="8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329"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0329"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90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11011524T000002769169-党建活动经费（非财政拨款资金）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0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19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9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4.558397万元</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3.967837万元</w:t>
            </w: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2.266052万元</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57.11%</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4.558397万元</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3.967837万元</w:t>
            </w: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2.266052万元</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57.11%</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0"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8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依据【大兴区基层党组织党建活动经费管理规定】开展各类党建活动，发挥党建引领作用</w:t>
            </w:r>
          </w:p>
        </w:tc>
        <w:tc>
          <w:tcPr>
            <w:tcW w:w="38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依据【大兴区基层党组织党建活动经费管理规定】开展各类党建活动，发挥党建引领作用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5"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指标1：组织党员活动次数</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≥12次</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12次</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指标1：支付时间</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≤4.558397万元</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3.967837万元</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预算以9月底账面数编制，项目实际成本为12月底账面数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5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3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指标1：发挥党建引领作用</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切实发挥基层党组织的战斗堡垒作用和党员的先锋模范作用</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切实发挥基层党组织的战斗堡垒作用和党员的先锋模范作用</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指标1：党员满意度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74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95.71</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tbl>
      <w:tblPr>
        <w:tblStyle w:val="14"/>
        <w:tblpPr w:leftFromText="180" w:rightFromText="180" w:vertAnchor="text" w:horzAnchor="page" w:tblpX="2998" w:tblpY="2874"/>
        <w:tblOverlap w:val="never"/>
        <w:tblW w:w="10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88"/>
        <w:gridCol w:w="815"/>
        <w:gridCol w:w="1297"/>
        <w:gridCol w:w="1293"/>
        <w:gridCol w:w="844"/>
        <w:gridCol w:w="1299"/>
        <w:gridCol w:w="976"/>
        <w:gridCol w:w="915"/>
        <w:gridCol w:w="493"/>
        <w:gridCol w:w="617"/>
        <w:gridCol w:w="11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240"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0240"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3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11011524T000002769201-双百双千（非财政拨款资金）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5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1.144257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1.477667</w:t>
            </w: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0.45918</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31.07%</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1.144257</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1.477667</w:t>
            </w: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0.45918</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31.07%</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0" w:hRule="atLeast"/>
        </w:trPr>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5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通过双百双千城乡共建活动，推动以城带乡、城乡互促、双向收益、共同提高。</w:t>
            </w:r>
          </w:p>
        </w:tc>
        <w:tc>
          <w:tcPr>
            <w:tcW w:w="41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通过双百双千城乡共建活动，推动以城带乡、城乡互促、双向收益、共同提高。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指标1：组织共建活动次数</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≥1次</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7次</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指标1：支付时间</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9月</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≤1.477667万元</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0.45918万元</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35"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指标1：双百双千城乡共建活动的影响</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通过双百双千城乡共建活动，推动以城带乡、城乡互促、双向收益、共同提高</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通过与康张华村。“双百双千”城乡共建活动，推动以城带乡、城乡互促、双向收益、共同提高</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指标1：结对共建村满意度</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1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93.1</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8"/>
        <w:rPr>
          <w:rFonts w:hint="eastAsia"/>
          <w:lang w:val="en-US" w:eastAsia="zh-CN"/>
        </w:rPr>
      </w:pPr>
      <w:r>
        <w:rPr>
          <w:rFonts w:hint="eastAsia"/>
          <w:lang w:val="en-US" w:eastAsia="zh-CN"/>
        </w:rPr>
        <w:t xml:space="preserve">         </w:t>
      </w:r>
    </w:p>
    <w:tbl>
      <w:tblPr>
        <w:tblStyle w:val="14"/>
        <w:tblpPr w:leftFromText="180" w:rightFromText="180" w:vertAnchor="text" w:horzAnchor="page" w:tblpX="2998" w:tblpY="435"/>
        <w:tblOverlap w:val="never"/>
        <w:tblW w:w="102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6"/>
        <w:gridCol w:w="836"/>
        <w:gridCol w:w="1350"/>
        <w:gridCol w:w="1361"/>
        <w:gridCol w:w="755"/>
        <w:gridCol w:w="1225"/>
        <w:gridCol w:w="939"/>
        <w:gridCol w:w="944"/>
        <w:gridCol w:w="507"/>
        <w:gridCol w:w="588"/>
        <w:gridCol w:w="1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238" w:type="dxa"/>
            <w:gridSpan w:val="11"/>
            <w:shd w:val="clear" w:color="auto" w:fill="auto"/>
            <w:vAlign w:val="center"/>
          </w:tcPr>
          <w:p>
            <w:pPr>
              <w:pStyle w:val="8"/>
              <w:ind w:left="0" w:leftChars="0" w:firstLine="0" w:firstLineChars="0"/>
              <w:rPr>
                <w:rFonts w:hint="eastAsia"/>
              </w:rPr>
            </w:pPr>
            <w:bookmarkStart w:id="0" w:name="_GoBack"/>
            <w:bookmarkEnd w:id="0"/>
          </w:p>
          <w:p>
            <w:pPr>
              <w:pStyle w:val="8"/>
              <w:rPr>
                <w:rFonts w:hint="eastAsia"/>
              </w:rPr>
            </w:pPr>
          </w:p>
          <w:p>
            <w:pPr>
              <w:pStyle w:val="8"/>
              <w:ind w:left="0" w:leftChars="0" w:firstLine="3200" w:firstLineChars="1000"/>
              <w:rPr>
                <w:rFonts w:hint="eastAsia"/>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10238"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79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基础律师费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7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5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北京一格律师事务所委托1-2名律师担任我单位常年法律顾问，为我单位提供法律服务，依法维护我单位的合法权益</w:t>
            </w:r>
          </w:p>
        </w:tc>
        <w:tc>
          <w:tcPr>
            <w:tcW w:w="4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北京一格律师事务所委托1-2名律师担任我单位常年法律顾问，为我单位提供法律服务，依法维护我单位的合法权益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指标1：：配备律师数</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1-2人</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指标1：按需求提供专业法律服务</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无不满意反馈,依法维护我单位的合法权益</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无不满意反馈,依法维护我单位的合法权益</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指标1：第一次支付时间</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5月</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5月</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指标2：第二次支付时间</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5万元</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5万元</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指标1：法律顾问作用</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依法维护我单位的合法权益</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依法维护我单位的合法权益</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指标1：服务科室满意度</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0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tbl>
      <w:tblPr>
        <w:tblStyle w:val="14"/>
        <w:tblpPr w:leftFromText="180" w:rightFromText="180" w:vertAnchor="text" w:horzAnchor="page" w:tblpX="2893" w:tblpY="434"/>
        <w:tblOverlap w:val="never"/>
        <w:tblW w:w="102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2"/>
        <w:gridCol w:w="831"/>
        <w:gridCol w:w="1339"/>
        <w:gridCol w:w="1334"/>
        <w:gridCol w:w="766"/>
        <w:gridCol w:w="1230"/>
        <w:gridCol w:w="947"/>
        <w:gridCol w:w="938"/>
        <w:gridCol w:w="504"/>
        <w:gridCol w:w="603"/>
        <w:gridCol w:w="11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5" w:hRule="atLeast"/>
        </w:trPr>
        <w:tc>
          <w:tcPr>
            <w:tcW w:w="10238"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0238"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0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11011524T000002773833-双百双千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rPr>
        <w:tc>
          <w:tcPr>
            <w:tcW w:w="1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0.6万元</w:t>
            </w: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 xml:space="preserve">     上年结转资金</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 xml:space="preserve">  其他资金</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0.6万元</w:t>
            </w: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中央直达资金</w:t>
            </w:r>
            <w:r>
              <w:rPr>
                <w:rStyle w:val="27"/>
                <w:lang w:val="en-US" w:eastAsia="zh-CN" w:bidi="ar"/>
              </w:rPr>
              <w:t xml:space="preserve"> </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0"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通过双百双千城乡共建活动，推动以城带乡、城乡互促、双向收益、共同提高。</w:t>
            </w:r>
          </w:p>
        </w:tc>
        <w:tc>
          <w:tcPr>
            <w:tcW w:w="41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通过双百双千城乡共建活动，推动以城带乡、城乡互促、双向收益、共同提高。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5"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指标1：组织共建活动次数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≥1次</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7次</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3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指标1：支付时间</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≤12月</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9月</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2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0.5万元</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0.6万元</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预算数为预估数，实际拨付时按实际调整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5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3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指标1：双百双千城乡共建活动的影响</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通过双百双千城乡共建活动，推动以城带乡、城乡互促、双向收益、共同提高</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通过与康张华村。“双百双千”城乡共建活动，推动以城带乡、城乡互促、双向收益、共同提高</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指标1：结对共建村满意度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704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tbl>
      <w:tblPr>
        <w:tblStyle w:val="14"/>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21"/>
        <w:gridCol w:w="1044"/>
        <w:gridCol w:w="1506"/>
        <w:gridCol w:w="1505"/>
        <w:gridCol w:w="1044"/>
        <w:gridCol w:w="560"/>
        <w:gridCol w:w="1509"/>
        <w:gridCol w:w="1376"/>
        <w:gridCol w:w="1364"/>
        <w:gridCol w:w="159"/>
        <w:gridCol w:w="1193"/>
        <w:gridCol w:w="419"/>
        <w:gridCol w:w="966"/>
        <w:gridCol w:w="7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3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11011523T000001938671-仲裁员、镇村调解员培训费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北京市大兴区农村合作经济经营管理站</w:t>
            </w: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北京市大兴区农村合作经济经营管理站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rPr>
        <w:tc>
          <w:tcPr>
            <w:tcW w:w="18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0.98万元</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0.638万元</w:t>
            </w: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0.638万元</w:t>
            </w:r>
          </w:p>
        </w:tc>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0.98万元</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0.638万元</w:t>
            </w: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0.638万元</w:t>
            </w:r>
          </w:p>
        </w:tc>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0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开展对全区农村土地承包纠纷调解员、仲裁员的宣传培训工作</w:t>
            </w:r>
          </w:p>
        </w:tc>
        <w:tc>
          <w:tcPr>
            <w:tcW w:w="620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开展对全区农村土地承包纠纷调解员、仲裁员的宣传培训工作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82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培训人数</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≥70人</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84人</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培训天数</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培训班次</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1批</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1批</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培训班次</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讲师数量</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培训课程数</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≥1门</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1门</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讲师职级</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正高级或副高级</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副高级1人</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培训进度</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总体培训成本</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≤0.98万元</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0.638万元</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人均培训成本</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≤98元/人</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76元/人</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培训人员合格率</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0" w:hRule="atLeast"/>
        </w:trPr>
        <w:tc>
          <w:tcPr>
            <w:tcW w:w="82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0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参加培训人员对教师满意度</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93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8"/>
        <w:rPr>
          <w:rFonts w:hint="eastAsia" w:eastAsia="宋体"/>
          <w:lang w:val="en-US" w:eastAsia="zh-CN"/>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3</w: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5</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15</w:t>
    </w:r>
    <w: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51395D"/>
    <w:multiLevelType w:val="singleLevel"/>
    <w:tmpl w:val="6851395D"/>
    <w:lvl w:ilvl="0" w:tentative="0">
      <w:start w:val="5"/>
      <w:numFmt w:val="decimal"/>
      <w:suff w:val="nothing"/>
      <w:lvlText w:val="%1、"/>
      <w:lvlJc w:val="left"/>
    </w:lvl>
  </w:abstractNum>
  <w:abstractNum w:abstractNumId="2">
    <w:nsid w:val="68CA6F0B"/>
    <w:multiLevelType w:val="singleLevel"/>
    <w:tmpl w:val="68CA6F0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1D2307"/>
    <w:rsid w:val="0AB63747"/>
    <w:rsid w:val="0BA148CA"/>
    <w:rsid w:val="0C1165C4"/>
    <w:rsid w:val="0D6D544B"/>
    <w:rsid w:val="0DD136FE"/>
    <w:rsid w:val="0F542F2C"/>
    <w:rsid w:val="0F8E2C57"/>
    <w:rsid w:val="1059665E"/>
    <w:rsid w:val="10AC13BA"/>
    <w:rsid w:val="1302256E"/>
    <w:rsid w:val="14122BB2"/>
    <w:rsid w:val="145A6C1B"/>
    <w:rsid w:val="14B73493"/>
    <w:rsid w:val="15615360"/>
    <w:rsid w:val="167A2FF9"/>
    <w:rsid w:val="1764587C"/>
    <w:rsid w:val="18581C69"/>
    <w:rsid w:val="19914A18"/>
    <w:rsid w:val="1AEC0734"/>
    <w:rsid w:val="1B9B0110"/>
    <w:rsid w:val="1DEF20B0"/>
    <w:rsid w:val="1EEE1243"/>
    <w:rsid w:val="1F102447"/>
    <w:rsid w:val="1FF7AB17"/>
    <w:rsid w:val="214243FA"/>
    <w:rsid w:val="21AD613C"/>
    <w:rsid w:val="22467189"/>
    <w:rsid w:val="22AB02F3"/>
    <w:rsid w:val="24880576"/>
    <w:rsid w:val="257A14F5"/>
    <w:rsid w:val="27196C26"/>
    <w:rsid w:val="27DA1C61"/>
    <w:rsid w:val="29EF086F"/>
    <w:rsid w:val="2A6B31D5"/>
    <w:rsid w:val="2B5441D6"/>
    <w:rsid w:val="2BC34C59"/>
    <w:rsid w:val="2EFFE297"/>
    <w:rsid w:val="2FC05C47"/>
    <w:rsid w:val="301437CA"/>
    <w:rsid w:val="349D1F0A"/>
    <w:rsid w:val="34DD0473"/>
    <w:rsid w:val="34E467F2"/>
    <w:rsid w:val="36245A56"/>
    <w:rsid w:val="38B73ED1"/>
    <w:rsid w:val="39103036"/>
    <w:rsid w:val="39135CC0"/>
    <w:rsid w:val="3A8E35DC"/>
    <w:rsid w:val="3BA17F66"/>
    <w:rsid w:val="3BD55B8C"/>
    <w:rsid w:val="3C684897"/>
    <w:rsid w:val="3D4F79B3"/>
    <w:rsid w:val="433E495C"/>
    <w:rsid w:val="489F2FD7"/>
    <w:rsid w:val="48C3607C"/>
    <w:rsid w:val="49265B17"/>
    <w:rsid w:val="4AC27CB3"/>
    <w:rsid w:val="4BF72BEF"/>
    <w:rsid w:val="4FA90297"/>
    <w:rsid w:val="4FC41A43"/>
    <w:rsid w:val="4FDF661A"/>
    <w:rsid w:val="5038022A"/>
    <w:rsid w:val="51DB3C59"/>
    <w:rsid w:val="545255BC"/>
    <w:rsid w:val="550C0952"/>
    <w:rsid w:val="55762E42"/>
    <w:rsid w:val="562B307B"/>
    <w:rsid w:val="569C1099"/>
    <w:rsid w:val="57A7B272"/>
    <w:rsid w:val="57E125D1"/>
    <w:rsid w:val="57F458D8"/>
    <w:rsid w:val="58470068"/>
    <w:rsid w:val="58747CAC"/>
    <w:rsid w:val="5A1720F9"/>
    <w:rsid w:val="5A557BFB"/>
    <w:rsid w:val="5B6F3F93"/>
    <w:rsid w:val="5B9C37C2"/>
    <w:rsid w:val="5BA7C654"/>
    <w:rsid w:val="5DEF12E8"/>
    <w:rsid w:val="5DF716AE"/>
    <w:rsid w:val="5F9F507E"/>
    <w:rsid w:val="60A54109"/>
    <w:rsid w:val="61D01CDF"/>
    <w:rsid w:val="62ED0EF4"/>
    <w:rsid w:val="64C0607C"/>
    <w:rsid w:val="65756C86"/>
    <w:rsid w:val="674D385B"/>
    <w:rsid w:val="676F09E1"/>
    <w:rsid w:val="68877CD1"/>
    <w:rsid w:val="6AD4073A"/>
    <w:rsid w:val="6C09479E"/>
    <w:rsid w:val="70861BB4"/>
    <w:rsid w:val="71691990"/>
    <w:rsid w:val="71793A80"/>
    <w:rsid w:val="72D87670"/>
    <w:rsid w:val="7357290B"/>
    <w:rsid w:val="756E3DEA"/>
    <w:rsid w:val="76FB1693"/>
    <w:rsid w:val="79296E26"/>
    <w:rsid w:val="797A10F4"/>
    <w:rsid w:val="798524E4"/>
    <w:rsid w:val="7A7F1C49"/>
    <w:rsid w:val="7ADE575F"/>
    <w:rsid w:val="7B5B7AE6"/>
    <w:rsid w:val="7B7B6628"/>
    <w:rsid w:val="7BA7071E"/>
    <w:rsid w:val="7BDF6DA8"/>
    <w:rsid w:val="7C7EDC1A"/>
    <w:rsid w:val="7CCED98D"/>
    <w:rsid w:val="7D08410F"/>
    <w:rsid w:val="7DB96DED"/>
    <w:rsid w:val="7DD3AD81"/>
    <w:rsid w:val="7DFFF77E"/>
    <w:rsid w:val="7E723260"/>
    <w:rsid w:val="7F033A37"/>
    <w:rsid w:val="7F53A862"/>
    <w:rsid w:val="7F7FE70F"/>
    <w:rsid w:val="7FDF365A"/>
    <w:rsid w:val="7FEC8BC6"/>
    <w:rsid w:val="7FF57A40"/>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Block Text"/>
    <w:basedOn w:val="1"/>
    <w:qFormat/>
    <w:uiPriority w:val="0"/>
    <w:pPr>
      <w:spacing w:after="120"/>
      <w:ind w:left="1440" w:leftChars="700" w:right="1440" w:rightChars="700"/>
    </w:pPr>
  </w:style>
  <w:style w:type="paragraph" w:styleId="6">
    <w:name w:val="Plain Text"/>
    <w:basedOn w:val="1"/>
    <w:qFormat/>
    <w:uiPriority w:val="0"/>
    <w:rPr>
      <w:rFonts w:ascii="宋体" w:hAnsi="Courier New"/>
      <w:szCs w:val="21"/>
    </w:rPr>
  </w:style>
  <w:style w:type="paragraph" w:styleId="7">
    <w:name w:val="Date"/>
    <w:basedOn w:val="1"/>
    <w:next w:val="1"/>
    <w:qFormat/>
    <w:uiPriority w:val="0"/>
    <w:pPr>
      <w:ind w:left="100" w:leftChars="2500"/>
    </w:pPr>
  </w:style>
  <w:style w:type="paragraph" w:styleId="8">
    <w:name w:val="Body Text Indent 2"/>
    <w:basedOn w:val="1"/>
    <w:qFormat/>
    <w:uiPriority w:val="0"/>
    <w:pPr>
      <w:spacing w:after="120" w:line="480" w:lineRule="auto"/>
      <w:ind w:left="420" w:leftChars="200"/>
    </w:pPr>
  </w:style>
  <w:style w:type="paragraph" w:styleId="9">
    <w:name w:val="Balloon Text"/>
    <w:basedOn w:val="1"/>
    <w:semiHidden/>
    <w:qFormat/>
    <w:uiPriority w:val="0"/>
    <w:rPr>
      <w:sz w:val="18"/>
      <w:szCs w:val="18"/>
    </w:rPr>
  </w:style>
  <w:style w:type="paragraph" w:styleId="10">
    <w:name w:val="footer"/>
    <w:basedOn w:val="1"/>
    <w:link w:val="19"/>
    <w:qFormat/>
    <w:uiPriority w:val="0"/>
    <w:pPr>
      <w:tabs>
        <w:tab w:val="center" w:pos="4153"/>
        <w:tab w:val="right" w:pos="8306"/>
      </w:tabs>
      <w:snapToGrid w:val="0"/>
      <w:jc w:val="left"/>
    </w:pPr>
    <w:rPr>
      <w:sz w:val="18"/>
      <w:szCs w:val="18"/>
    </w:rPr>
  </w:style>
  <w:style w:type="paragraph" w:styleId="11">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paragraph" w:styleId="13">
    <w:name w:val="Title"/>
    <w:basedOn w:val="1"/>
    <w:next w:val="1"/>
    <w:qFormat/>
    <w:uiPriority w:val="0"/>
    <w:pPr>
      <w:spacing w:before="240" w:after="60"/>
      <w:jc w:val="center"/>
      <w:outlineLvl w:val="0"/>
    </w:pPr>
    <w:rPr>
      <w:rFonts w:ascii="Cambria" w:hAnsi="Cambria" w:cs="Times New Roman"/>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rPr>
  </w:style>
  <w:style w:type="character" w:styleId="18">
    <w:name w:val="page number"/>
    <w:qFormat/>
    <w:uiPriority w:val="0"/>
  </w:style>
  <w:style w:type="character" w:customStyle="1" w:styleId="19">
    <w:name w:val="页脚 Char"/>
    <w:link w:val="10"/>
    <w:qFormat/>
    <w:uiPriority w:val="0"/>
    <w:rPr>
      <w:rFonts w:eastAsia="宋体"/>
      <w:kern w:val="2"/>
      <w:sz w:val="18"/>
      <w:szCs w:val="18"/>
      <w:lang w:val="en-US" w:eastAsia="zh-CN" w:bidi="ar-SA"/>
    </w:rPr>
  </w:style>
  <w:style w:type="character" w:customStyle="1" w:styleId="20">
    <w:name w:val="页眉 Char"/>
    <w:link w:val="11"/>
    <w:qFormat/>
    <w:uiPriority w:val="0"/>
    <w:rPr>
      <w:rFonts w:ascii="Calibri" w:hAnsi="Calibri" w:eastAsia="宋体"/>
      <w:kern w:val="2"/>
      <w:sz w:val="18"/>
      <w:szCs w:val="18"/>
      <w:lang w:val="en-US" w:eastAsia="zh-CN" w:bidi="ar-SA"/>
    </w:rPr>
  </w:style>
  <w:style w:type="paragraph" w:customStyle="1" w:styleId="21">
    <w:name w:val="Char Char Char Char Char Char Char"/>
    <w:basedOn w:val="1"/>
    <w:qFormat/>
    <w:uiPriority w:val="0"/>
    <w:rPr>
      <w:rFonts w:ascii="Tahoma" w:hAnsi="Tahoma"/>
      <w:sz w:val="24"/>
      <w:szCs w:val="20"/>
    </w:rPr>
  </w:style>
  <w:style w:type="paragraph" w:customStyle="1" w:styleId="22">
    <w:name w:val="Char1 Char Char Char"/>
    <w:basedOn w:val="1"/>
    <w:qFormat/>
    <w:uiPriority w:val="0"/>
    <w:pPr>
      <w:widowControl/>
      <w:spacing w:after="160" w:line="240" w:lineRule="exact"/>
      <w:jc w:val="left"/>
    </w:pPr>
    <w:rPr>
      <w:szCs w:val="20"/>
    </w:rPr>
  </w:style>
  <w:style w:type="paragraph" w:customStyle="1" w:styleId="23">
    <w:name w:val="Char"/>
    <w:basedOn w:val="1"/>
    <w:qFormat/>
    <w:uiPriority w:val="0"/>
    <w:rPr>
      <w:rFonts w:ascii="Tahoma" w:hAnsi="Tahoma"/>
      <w:sz w:val="24"/>
      <w:szCs w:val="20"/>
    </w:rPr>
  </w:style>
  <w:style w:type="paragraph" w:customStyle="1" w:styleId="24">
    <w:name w:val="Char Char3 Char Char"/>
    <w:basedOn w:val="1"/>
    <w:qFormat/>
    <w:uiPriority w:val="0"/>
    <w:rPr>
      <w:szCs w:val="21"/>
    </w:rPr>
  </w:style>
  <w:style w:type="character" w:customStyle="1" w:styleId="25">
    <w:name w:val="font41"/>
    <w:basedOn w:val="16"/>
    <w:qFormat/>
    <w:uiPriority w:val="0"/>
    <w:rPr>
      <w:rFonts w:hint="eastAsia" w:ascii="宋体" w:hAnsi="宋体" w:eastAsia="宋体" w:cs="宋体"/>
      <w:color w:val="000000"/>
      <w:sz w:val="18"/>
      <w:szCs w:val="18"/>
      <w:u w:val="none"/>
    </w:rPr>
  </w:style>
  <w:style w:type="character" w:customStyle="1" w:styleId="26">
    <w:name w:val="font51"/>
    <w:basedOn w:val="16"/>
    <w:qFormat/>
    <w:uiPriority w:val="0"/>
    <w:rPr>
      <w:rFonts w:hint="eastAsia" w:ascii="宋体" w:hAnsi="宋体" w:eastAsia="宋体" w:cs="宋体"/>
      <w:color w:val="000000"/>
      <w:sz w:val="18"/>
      <w:szCs w:val="18"/>
      <w:u w:val="none"/>
    </w:rPr>
  </w:style>
  <w:style w:type="character" w:customStyle="1" w:styleId="27">
    <w:name w:val="font11"/>
    <w:basedOn w:val="16"/>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1515.96</c:v>
                </c:pt>
                <c:pt idx="1">
                  <c:v>0</c:v>
                </c:pt>
                <c:pt idx="2">
                  <c:v>0</c:v>
                </c:pt>
                <c:pt idx="3">
                  <c:v>0</c:v>
                </c:pt>
                <c:pt idx="4">
                  <c:v>0</c:v>
                </c:pt>
                <c:pt idx="5">
                  <c:v>0.6</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1344.31</c:v>
                </c:pt>
                <c:pt idx="1">
                  <c:v>255.71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298</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user</cp:lastModifiedBy>
  <cp:lastPrinted>2020-08-09T11:39:00Z</cp:lastPrinted>
  <dcterms:modified xsi:type="dcterms:W3CDTF">2025-11-07T09:09:24Z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